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85784" w14:textId="77777777" w:rsidR="00EE778A" w:rsidRPr="001762CC" w:rsidRDefault="00EE778A" w:rsidP="00EE778A">
      <w:pPr>
        <w:tabs>
          <w:tab w:val="left" w:pos="2340"/>
        </w:tabs>
        <w:jc w:val="center"/>
        <w:rPr>
          <w:rFonts w:ascii="Verdana" w:hAnsi="Verdana" w:cs="Arial"/>
          <w:b/>
          <w:sz w:val="20"/>
          <w:szCs w:val="20"/>
        </w:rPr>
      </w:pPr>
      <w:r w:rsidRPr="001762CC">
        <w:rPr>
          <w:rFonts w:ascii="Verdana" w:hAnsi="Verdana" w:cs="Arial"/>
          <w:b/>
          <w:sz w:val="20"/>
          <w:szCs w:val="20"/>
        </w:rPr>
        <w:t xml:space="preserve">Drury Jersey Property Unit Trust </w:t>
      </w:r>
      <w:r w:rsidRPr="001762CC">
        <w:rPr>
          <w:rFonts w:ascii="Verdana" w:hAnsi="Verdana" w:cs="Arial"/>
          <w:sz w:val="20"/>
          <w:szCs w:val="20"/>
        </w:rPr>
        <w:t>(the</w:t>
      </w:r>
      <w:r w:rsidRPr="001762CC">
        <w:rPr>
          <w:rFonts w:ascii="Verdana" w:hAnsi="Verdana" w:cs="Arial"/>
          <w:b/>
          <w:sz w:val="20"/>
          <w:szCs w:val="20"/>
        </w:rPr>
        <w:t xml:space="preserve"> </w:t>
      </w:r>
      <w:r w:rsidRPr="001762CC">
        <w:rPr>
          <w:rFonts w:ascii="Verdana" w:hAnsi="Verdana" w:cs="Arial"/>
          <w:bCs/>
          <w:sz w:val="20"/>
          <w:szCs w:val="20"/>
        </w:rPr>
        <w:t>“</w:t>
      </w:r>
      <w:r w:rsidRPr="001762CC">
        <w:rPr>
          <w:rFonts w:ascii="Verdana" w:hAnsi="Verdana" w:cs="Arial"/>
          <w:b/>
          <w:sz w:val="20"/>
          <w:szCs w:val="20"/>
        </w:rPr>
        <w:t>Trust</w:t>
      </w:r>
      <w:r w:rsidRPr="001762CC">
        <w:rPr>
          <w:rFonts w:ascii="Verdana" w:hAnsi="Verdana" w:cs="Arial"/>
          <w:bCs/>
          <w:sz w:val="20"/>
          <w:szCs w:val="20"/>
        </w:rPr>
        <w:t>”</w:t>
      </w:r>
      <w:r w:rsidRPr="001762CC">
        <w:rPr>
          <w:rFonts w:ascii="Verdana" w:hAnsi="Verdana" w:cs="Arial"/>
          <w:sz w:val="20"/>
          <w:szCs w:val="20"/>
        </w:rPr>
        <w:t>)</w:t>
      </w:r>
      <w:r w:rsidRPr="001762CC">
        <w:rPr>
          <w:rFonts w:ascii="Verdana" w:hAnsi="Verdana" w:cs="Arial"/>
          <w:b/>
          <w:sz w:val="20"/>
          <w:szCs w:val="20"/>
        </w:rPr>
        <w:t xml:space="preserve"> established pursuant to a Trust Instrument dated 23 July 2019 as amended by supplemental trust instruments dated 17 February 2020 </w:t>
      </w:r>
      <w:r w:rsidRPr="001762CC">
        <w:rPr>
          <w:rFonts w:ascii="Verdana" w:hAnsi="Verdana" w:cs="Arial"/>
          <w:sz w:val="20"/>
          <w:szCs w:val="20"/>
        </w:rPr>
        <w:t>(the</w:t>
      </w:r>
      <w:r w:rsidRPr="001762CC">
        <w:rPr>
          <w:rFonts w:ascii="Verdana" w:hAnsi="Verdana" w:cs="Arial"/>
          <w:b/>
          <w:sz w:val="20"/>
          <w:szCs w:val="20"/>
        </w:rPr>
        <w:t xml:space="preserve"> </w:t>
      </w:r>
      <w:r w:rsidRPr="001762CC">
        <w:rPr>
          <w:rFonts w:ascii="Verdana" w:hAnsi="Verdana" w:cs="Arial"/>
          <w:bCs/>
          <w:sz w:val="20"/>
          <w:szCs w:val="20"/>
        </w:rPr>
        <w:t>“</w:t>
      </w:r>
      <w:r w:rsidRPr="001762CC">
        <w:rPr>
          <w:rFonts w:ascii="Verdana" w:hAnsi="Verdana" w:cs="Arial"/>
          <w:b/>
          <w:sz w:val="20"/>
          <w:szCs w:val="20"/>
        </w:rPr>
        <w:t>Trust Instrument</w:t>
      </w:r>
      <w:r w:rsidRPr="001762CC">
        <w:rPr>
          <w:rFonts w:ascii="Verdana" w:hAnsi="Verdana" w:cs="Arial"/>
          <w:bCs/>
          <w:sz w:val="20"/>
          <w:szCs w:val="20"/>
        </w:rPr>
        <w:t>”</w:t>
      </w:r>
      <w:r w:rsidRPr="001762CC">
        <w:rPr>
          <w:rFonts w:ascii="Verdana" w:hAnsi="Verdana" w:cs="Arial"/>
          <w:sz w:val="20"/>
          <w:szCs w:val="20"/>
        </w:rPr>
        <w:t>)</w:t>
      </w:r>
    </w:p>
    <w:p w14:paraId="4F7247E2" w14:textId="77777777" w:rsidR="00EE778A" w:rsidRPr="001762CC" w:rsidRDefault="00EE778A" w:rsidP="00EE778A">
      <w:pPr>
        <w:tabs>
          <w:tab w:val="left" w:pos="2340"/>
        </w:tabs>
        <w:jc w:val="center"/>
        <w:rPr>
          <w:rFonts w:ascii="Verdana" w:hAnsi="Verdana" w:cs="Arial"/>
          <w:b/>
          <w:sz w:val="20"/>
          <w:szCs w:val="20"/>
        </w:rPr>
      </w:pPr>
    </w:p>
    <w:p w14:paraId="6E3C7646" w14:textId="77777777" w:rsidR="00EE778A" w:rsidRPr="001762CC" w:rsidRDefault="00EE778A" w:rsidP="00EE778A">
      <w:pPr>
        <w:tabs>
          <w:tab w:val="left" w:pos="2340"/>
        </w:tabs>
        <w:jc w:val="center"/>
        <w:rPr>
          <w:rFonts w:ascii="Verdana" w:hAnsi="Verdana" w:cs="Arial"/>
          <w:b/>
          <w:sz w:val="20"/>
          <w:szCs w:val="20"/>
        </w:rPr>
      </w:pPr>
      <w:r>
        <w:rPr>
          <w:rFonts w:ascii="Verdana" w:hAnsi="Verdana" w:cs="Arial"/>
          <w:b/>
          <w:sz w:val="20"/>
          <w:szCs w:val="20"/>
        </w:rPr>
        <w:t xml:space="preserve">Unanimous </w:t>
      </w:r>
      <w:r w:rsidRPr="001762CC">
        <w:rPr>
          <w:rFonts w:ascii="Verdana" w:hAnsi="Verdana" w:cs="Arial"/>
          <w:b/>
          <w:sz w:val="20"/>
          <w:szCs w:val="20"/>
        </w:rPr>
        <w:t>Resolution in writing of the Unitholders of the Trust</w:t>
      </w:r>
    </w:p>
    <w:p w14:paraId="20925F15" w14:textId="77777777" w:rsidR="00EE778A" w:rsidRPr="001762CC" w:rsidRDefault="00EE778A" w:rsidP="00EE778A">
      <w:pPr>
        <w:tabs>
          <w:tab w:val="left" w:pos="2340"/>
        </w:tabs>
        <w:jc w:val="center"/>
        <w:rPr>
          <w:rFonts w:ascii="Verdana" w:hAnsi="Verdana" w:cs="Arial"/>
          <w:sz w:val="20"/>
          <w:szCs w:val="20"/>
        </w:rPr>
      </w:pPr>
      <w:r w:rsidRPr="001762CC">
        <w:rPr>
          <w:rFonts w:ascii="Verdana" w:hAnsi="Verdana" w:cs="Arial"/>
          <w:sz w:val="20"/>
          <w:szCs w:val="20"/>
        </w:rPr>
        <w:t>Terms defined in the Trust Instrument shall have the same meaning where used in this resolution in writing.</w:t>
      </w:r>
    </w:p>
    <w:p w14:paraId="2A5661A7" w14:textId="77777777" w:rsidR="00EE778A" w:rsidRPr="001762CC" w:rsidRDefault="00EE778A" w:rsidP="00EE778A">
      <w:pPr>
        <w:tabs>
          <w:tab w:val="left" w:pos="2340"/>
        </w:tabs>
        <w:rPr>
          <w:rFonts w:ascii="Verdana" w:hAnsi="Verdana" w:cs="Arial"/>
          <w:b/>
          <w:sz w:val="20"/>
          <w:szCs w:val="20"/>
        </w:rPr>
      </w:pPr>
    </w:p>
    <w:p w14:paraId="4EECFFE9" w14:textId="77777777" w:rsidR="00EE778A" w:rsidRPr="001762CC" w:rsidRDefault="00EE778A" w:rsidP="00EE778A">
      <w:pPr>
        <w:pStyle w:val="BodyText"/>
        <w:rPr>
          <w:rFonts w:ascii="Verdana" w:hAnsi="Verdana" w:cs="Arial"/>
          <w:sz w:val="20"/>
          <w:szCs w:val="20"/>
        </w:rPr>
      </w:pPr>
      <w:r>
        <w:rPr>
          <w:rFonts w:ascii="Verdana" w:hAnsi="Verdana" w:cs="Arial"/>
          <w:b/>
          <w:sz w:val="20"/>
          <w:szCs w:val="20"/>
        </w:rPr>
        <w:t>WHEREAS</w:t>
      </w:r>
      <w:r w:rsidRPr="001762CC">
        <w:rPr>
          <w:rFonts w:ascii="Verdana" w:hAnsi="Verdana" w:cs="Arial"/>
          <w:sz w:val="20"/>
          <w:szCs w:val="20"/>
        </w:rPr>
        <w:t>:</w:t>
      </w:r>
    </w:p>
    <w:p w14:paraId="752268FB" w14:textId="77777777" w:rsidR="00EE778A" w:rsidRPr="001762CC" w:rsidRDefault="00EE778A" w:rsidP="00EE778A">
      <w:pPr>
        <w:pStyle w:val="MH-2"/>
        <w:numPr>
          <w:ilvl w:val="1"/>
          <w:numId w:val="12"/>
        </w:numPr>
        <w:rPr>
          <w:rFonts w:cs="Arial"/>
          <w:sz w:val="20"/>
          <w:szCs w:val="20"/>
        </w:rPr>
      </w:pPr>
      <w:r w:rsidRPr="001762CC">
        <w:rPr>
          <w:rFonts w:cs="Arial"/>
          <w:sz w:val="20"/>
          <w:szCs w:val="20"/>
        </w:rPr>
        <w:t>Drury Trustee 1 Limited and Drury Trustee 2 Limited are joint trustees of the Trust (in such capacity, the “</w:t>
      </w:r>
      <w:r w:rsidRPr="001762CC">
        <w:rPr>
          <w:rFonts w:cs="Arial"/>
          <w:b/>
          <w:sz w:val="20"/>
          <w:szCs w:val="20"/>
        </w:rPr>
        <w:t>Trustees</w:t>
      </w:r>
      <w:r w:rsidRPr="001762CC">
        <w:rPr>
          <w:rFonts w:cs="Arial"/>
          <w:bCs/>
          <w:sz w:val="20"/>
          <w:szCs w:val="20"/>
        </w:rPr>
        <w:t>”</w:t>
      </w:r>
      <w:r w:rsidRPr="001762CC">
        <w:rPr>
          <w:rFonts w:cs="Arial"/>
          <w:sz w:val="20"/>
          <w:szCs w:val="20"/>
        </w:rPr>
        <w:t>), which is governed by the Trust Instrument;</w:t>
      </w:r>
    </w:p>
    <w:p w14:paraId="44224F22" w14:textId="77777777" w:rsidR="00EE778A" w:rsidRPr="001762CC" w:rsidRDefault="00EE778A" w:rsidP="00EE778A">
      <w:pPr>
        <w:pStyle w:val="MH-2"/>
        <w:numPr>
          <w:ilvl w:val="1"/>
          <w:numId w:val="12"/>
        </w:numPr>
        <w:rPr>
          <w:rFonts w:cs="Arial"/>
          <w:sz w:val="20"/>
          <w:szCs w:val="20"/>
        </w:rPr>
      </w:pPr>
      <w:r w:rsidRPr="001762CC">
        <w:rPr>
          <w:rFonts w:cs="Arial"/>
          <w:sz w:val="20"/>
          <w:szCs w:val="20"/>
        </w:rPr>
        <w:t>Schedule 6 of the Trust Instrument state</w:t>
      </w:r>
      <w:r>
        <w:rPr>
          <w:rFonts w:cs="Arial"/>
          <w:sz w:val="20"/>
          <w:szCs w:val="20"/>
        </w:rPr>
        <w:t>s</w:t>
      </w:r>
      <w:r w:rsidRPr="001762CC">
        <w:rPr>
          <w:rFonts w:cs="Arial"/>
          <w:sz w:val="20"/>
          <w:szCs w:val="20"/>
        </w:rPr>
        <w:t xml:space="preserve"> those items that </w:t>
      </w:r>
      <w:r>
        <w:rPr>
          <w:rFonts w:cs="Arial"/>
          <w:sz w:val="20"/>
          <w:szCs w:val="20"/>
        </w:rPr>
        <w:t>are</w:t>
      </w:r>
      <w:r w:rsidRPr="001762CC">
        <w:rPr>
          <w:rFonts w:cs="Arial"/>
          <w:sz w:val="20"/>
          <w:szCs w:val="20"/>
        </w:rPr>
        <w:t xml:space="preserve"> Reserved Matters and that in accordance with clause 28 of the Trust Instrument those matters in Schedule 6 shall only be undertaken or approved by the Trustees once prior approval of the Unitholders has been obtained</w:t>
      </w:r>
      <w:r>
        <w:rPr>
          <w:rFonts w:cs="Arial"/>
          <w:sz w:val="20"/>
          <w:szCs w:val="20"/>
        </w:rPr>
        <w:t xml:space="preserve"> by way of Unanimous Resolution</w:t>
      </w:r>
      <w:r w:rsidRPr="001762CC">
        <w:rPr>
          <w:rFonts w:cs="Arial"/>
          <w:sz w:val="20"/>
          <w:szCs w:val="20"/>
        </w:rPr>
        <w:t xml:space="preserve">; </w:t>
      </w:r>
      <w:r>
        <w:rPr>
          <w:rFonts w:cs="Arial"/>
          <w:sz w:val="20"/>
          <w:szCs w:val="20"/>
        </w:rPr>
        <w:t xml:space="preserve">and </w:t>
      </w:r>
    </w:p>
    <w:p w14:paraId="73429F32" w14:textId="77777777" w:rsidR="00EE778A" w:rsidRPr="001762CC" w:rsidRDefault="00EE778A" w:rsidP="00EE778A">
      <w:pPr>
        <w:pStyle w:val="MH-2"/>
        <w:numPr>
          <w:ilvl w:val="1"/>
          <w:numId w:val="12"/>
        </w:numPr>
        <w:rPr>
          <w:rFonts w:cs="Arial"/>
          <w:sz w:val="20"/>
          <w:szCs w:val="20"/>
        </w:rPr>
      </w:pPr>
      <w:r w:rsidRPr="001762CC">
        <w:rPr>
          <w:sz w:val="20"/>
          <w:szCs w:val="20"/>
        </w:rPr>
        <w:t>Schedule 6 of the Trust Instrument, states that the following is a Reserved Matter (as defined above): “</w:t>
      </w:r>
      <w:r>
        <w:rPr>
          <w:rFonts w:cs="Arial"/>
          <w:sz w:val="20"/>
          <w:szCs w:val="20"/>
        </w:rPr>
        <w:t>Approval of any variation of the Lease</w:t>
      </w:r>
      <w:r w:rsidRPr="001762CC">
        <w:rPr>
          <w:rFonts w:cs="Arial"/>
          <w:sz w:val="20"/>
          <w:szCs w:val="20"/>
        </w:rPr>
        <w:t>”</w:t>
      </w:r>
      <w:r>
        <w:rPr>
          <w:rFonts w:cs="Arial"/>
          <w:sz w:val="20"/>
          <w:szCs w:val="20"/>
        </w:rPr>
        <w:t>.</w:t>
      </w:r>
    </w:p>
    <w:p w14:paraId="5DE224D1" w14:textId="77777777" w:rsidR="00EE778A" w:rsidRDefault="00EE778A" w:rsidP="00EE778A">
      <w:pPr>
        <w:pStyle w:val="MH-2"/>
        <w:numPr>
          <w:ilvl w:val="0"/>
          <w:numId w:val="0"/>
        </w:numPr>
        <w:rPr>
          <w:rFonts w:cs="Arial"/>
          <w:sz w:val="20"/>
          <w:szCs w:val="20"/>
        </w:rPr>
      </w:pPr>
      <w:r>
        <w:rPr>
          <w:rFonts w:cs="Arial"/>
          <w:b/>
          <w:bCs/>
          <w:sz w:val="20"/>
          <w:szCs w:val="20"/>
        </w:rPr>
        <w:t>AND WHEREAS</w:t>
      </w:r>
      <w:r>
        <w:rPr>
          <w:rFonts w:cs="Arial"/>
          <w:sz w:val="20"/>
          <w:szCs w:val="20"/>
        </w:rPr>
        <w:t xml:space="preserve"> a</w:t>
      </w:r>
      <w:r w:rsidRPr="00492065">
        <w:rPr>
          <w:rFonts w:cs="Arial"/>
          <w:sz w:val="20"/>
          <w:szCs w:val="20"/>
        </w:rPr>
        <w:t>n Agreement to Vary and Deed of Variation has been</w:t>
      </w:r>
      <w:r>
        <w:rPr>
          <w:rFonts w:cs="Arial"/>
          <w:sz w:val="20"/>
          <w:szCs w:val="20"/>
        </w:rPr>
        <w:t xml:space="preserve"> negotiated</w:t>
      </w:r>
      <w:r w:rsidRPr="00492065">
        <w:rPr>
          <w:rFonts w:cs="Arial"/>
          <w:sz w:val="20"/>
          <w:szCs w:val="20"/>
        </w:rPr>
        <w:t xml:space="preserve"> </w:t>
      </w:r>
      <w:r>
        <w:rPr>
          <w:rFonts w:cs="Arial"/>
          <w:sz w:val="20"/>
          <w:szCs w:val="20"/>
        </w:rPr>
        <w:t xml:space="preserve">by the Property Manager </w:t>
      </w:r>
      <w:r w:rsidRPr="00492065">
        <w:rPr>
          <w:rFonts w:cs="Arial"/>
          <w:sz w:val="20"/>
          <w:szCs w:val="20"/>
        </w:rPr>
        <w:t xml:space="preserve">with </w:t>
      </w:r>
      <w:r>
        <w:rPr>
          <w:rFonts w:cs="Arial"/>
          <w:sz w:val="20"/>
          <w:szCs w:val="20"/>
        </w:rPr>
        <w:t xml:space="preserve">the Tenant </w:t>
      </w:r>
      <w:r w:rsidRPr="00492065">
        <w:rPr>
          <w:rFonts w:cs="Arial"/>
          <w:sz w:val="20"/>
          <w:szCs w:val="20"/>
        </w:rPr>
        <w:t xml:space="preserve">in respect of </w:t>
      </w:r>
      <w:r>
        <w:rPr>
          <w:rFonts w:cs="Arial"/>
          <w:sz w:val="20"/>
          <w:szCs w:val="20"/>
        </w:rPr>
        <w:t>the Property, whereby the Lease will be varied to grant the Tenant permission to convert part of the demise of the Property into a logistics depot (the “</w:t>
      </w:r>
      <w:r>
        <w:rPr>
          <w:rFonts w:cs="Arial"/>
          <w:b/>
          <w:bCs/>
          <w:sz w:val="20"/>
          <w:szCs w:val="20"/>
        </w:rPr>
        <w:t>Lease Variation</w:t>
      </w:r>
      <w:r>
        <w:rPr>
          <w:rFonts w:cs="Arial"/>
          <w:sz w:val="20"/>
          <w:szCs w:val="20"/>
        </w:rPr>
        <w:t>”).</w:t>
      </w:r>
    </w:p>
    <w:p w14:paraId="47AB563E" w14:textId="485C1D4D" w:rsidR="00EE778A" w:rsidRPr="0040031B" w:rsidRDefault="00EE778A" w:rsidP="00EE778A">
      <w:pPr>
        <w:pStyle w:val="MH-2"/>
        <w:numPr>
          <w:ilvl w:val="0"/>
          <w:numId w:val="0"/>
        </w:numPr>
        <w:rPr>
          <w:rFonts w:cs="Arial"/>
          <w:sz w:val="20"/>
          <w:szCs w:val="20"/>
        </w:rPr>
      </w:pPr>
      <w:r>
        <w:rPr>
          <w:rFonts w:cs="Arial"/>
          <w:b/>
          <w:bCs/>
          <w:sz w:val="20"/>
          <w:szCs w:val="20"/>
        </w:rPr>
        <w:t>AND WHEREAS</w:t>
      </w:r>
      <w:r>
        <w:rPr>
          <w:rFonts w:cs="Arial"/>
          <w:sz w:val="20"/>
          <w:szCs w:val="20"/>
        </w:rPr>
        <w:t xml:space="preserve"> </w:t>
      </w:r>
      <w:r w:rsidRPr="0040031B">
        <w:rPr>
          <w:rFonts w:cs="Arial"/>
          <w:sz w:val="20"/>
          <w:szCs w:val="20"/>
        </w:rPr>
        <w:t>that Ten</w:t>
      </w:r>
      <w:r>
        <w:rPr>
          <w:rFonts w:cs="Arial"/>
          <w:sz w:val="20"/>
          <w:szCs w:val="20"/>
        </w:rPr>
        <w:t>a</w:t>
      </w:r>
      <w:r w:rsidRPr="0040031B">
        <w:rPr>
          <w:rFonts w:cs="Arial"/>
          <w:sz w:val="20"/>
          <w:szCs w:val="20"/>
        </w:rPr>
        <w:t>nt will pay a premium in the sum of £3,000,000 to the Trustees (in their capacity as Trustees of the Trust) in relation to the Lease Variation (the “</w:t>
      </w:r>
      <w:r w:rsidRPr="0040031B">
        <w:rPr>
          <w:rFonts w:cs="Arial"/>
          <w:b/>
          <w:bCs/>
          <w:sz w:val="20"/>
          <w:szCs w:val="20"/>
        </w:rPr>
        <w:t>Premium</w:t>
      </w:r>
      <w:r w:rsidRPr="0040031B">
        <w:rPr>
          <w:rFonts w:cs="Arial"/>
          <w:sz w:val="20"/>
          <w:szCs w:val="20"/>
        </w:rPr>
        <w:t>”)</w:t>
      </w:r>
      <w:r>
        <w:rPr>
          <w:rFonts w:cs="Arial"/>
          <w:sz w:val="20"/>
          <w:szCs w:val="20"/>
        </w:rPr>
        <w:t xml:space="preserve"> which is</w:t>
      </w:r>
      <w:r w:rsidRPr="0040031B">
        <w:rPr>
          <w:rFonts w:cs="Arial"/>
          <w:sz w:val="20"/>
          <w:szCs w:val="20"/>
        </w:rPr>
        <w:t xml:space="preserve"> not income in nature and</w:t>
      </w:r>
      <w:r w:rsidRPr="0040031B">
        <w:rPr>
          <w:rFonts w:cs="Arial"/>
          <w:color w:val="000000" w:themeColor="text1"/>
          <w:sz w:val="20"/>
          <w:szCs w:val="20"/>
        </w:rPr>
        <w:t xml:space="preserve"> shall </w:t>
      </w:r>
      <w:r w:rsidR="00546687">
        <w:rPr>
          <w:rFonts w:cs="Arial"/>
          <w:color w:val="000000" w:themeColor="text1"/>
          <w:sz w:val="20"/>
          <w:szCs w:val="20"/>
        </w:rPr>
        <w:t>form</w:t>
      </w:r>
      <w:r w:rsidRPr="0040031B">
        <w:rPr>
          <w:rFonts w:cs="Arial"/>
          <w:color w:val="000000" w:themeColor="text1"/>
          <w:sz w:val="20"/>
          <w:szCs w:val="20"/>
        </w:rPr>
        <w:t xml:space="preserve"> part of the Trust Fund.</w:t>
      </w:r>
    </w:p>
    <w:p w14:paraId="13186D15" w14:textId="77777777" w:rsidR="00EE778A" w:rsidRDefault="00EE778A" w:rsidP="00EE778A">
      <w:pPr>
        <w:pStyle w:val="MH-2"/>
        <w:numPr>
          <w:ilvl w:val="0"/>
          <w:numId w:val="0"/>
        </w:numPr>
        <w:rPr>
          <w:rFonts w:cs="Arial"/>
          <w:b/>
          <w:bCs/>
          <w:sz w:val="20"/>
          <w:szCs w:val="20"/>
        </w:rPr>
      </w:pPr>
      <w:r w:rsidRPr="00DD0896">
        <w:rPr>
          <w:rFonts w:cs="Arial"/>
          <w:b/>
          <w:bCs/>
          <w:sz w:val="20"/>
          <w:szCs w:val="20"/>
        </w:rPr>
        <w:t>AND WHEREAS</w:t>
      </w:r>
      <w:r>
        <w:rPr>
          <w:rFonts w:cs="Arial"/>
          <w:b/>
          <w:bCs/>
          <w:sz w:val="20"/>
          <w:szCs w:val="20"/>
        </w:rPr>
        <w:t xml:space="preserve"> </w:t>
      </w:r>
      <w:r>
        <w:rPr>
          <w:rFonts w:cs="Arial"/>
          <w:sz w:val="20"/>
          <w:szCs w:val="20"/>
        </w:rPr>
        <w:t>the Unitholders acknowledge that the Trust Instrument does not include any provisions dealing with the distribution of the Trust Fund in the normal course of business (noting the only provisions which expressly deal with distribution of the Trust Fund are limited to the termination provisions in Clause 24 of the Trust Instrument).</w:t>
      </w:r>
    </w:p>
    <w:p w14:paraId="2B1D68F7" w14:textId="77777777" w:rsidR="00EE778A" w:rsidRDefault="00EE778A" w:rsidP="00EE778A">
      <w:pPr>
        <w:pStyle w:val="MH-2"/>
        <w:numPr>
          <w:ilvl w:val="0"/>
          <w:numId w:val="0"/>
        </w:numPr>
        <w:rPr>
          <w:rFonts w:cs="Arial"/>
          <w:sz w:val="20"/>
          <w:szCs w:val="20"/>
        </w:rPr>
      </w:pPr>
      <w:r>
        <w:rPr>
          <w:rFonts w:cs="Arial"/>
          <w:b/>
          <w:bCs/>
          <w:sz w:val="20"/>
          <w:szCs w:val="20"/>
        </w:rPr>
        <w:t xml:space="preserve">AND WHEREAS </w:t>
      </w:r>
      <w:r>
        <w:rPr>
          <w:rFonts w:cs="Arial"/>
          <w:sz w:val="20"/>
          <w:szCs w:val="20"/>
        </w:rPr>
        <w:t>upon receipt of the Premium from the Tenant, it is proposed that the Trustees shall consider a distribution from the Trust Fund to the Unitholders in the following amounts:</w:t>
      </w:r>
    </w:p>
    <w:p w14:paraId="22509743" w14:textId="77777777" w:rsidR="00EE778A" w:rsidRDefault="00EE778A" w:rsidP="00EE778A">
      <w:pPr>
        <w:pStyle w:val="MH-2"/>
        <w:numPr>
          <w:ilvl w:val="0"/>
          <w:numId w:val="0"/>
        </w:numPr>
        <w:rPr>
          <w:rFonts w:cs="Arial"/>
          <w:sz w:val="20"/>
          <w:szCs w:val="20"/>
        </w:rPr>
      </w:pPr>
    </w:p>
    <w:tbl>
      <w:tblPr>
        <w:tblStyle w:val="TableGrid"/>
        <w:tblW w:w="0" w:type="auto"/>
        <w:tblLook w:val="04A0" w:firstRow="1" w:lastRow="0" w:firstColumn="1" w:lastColumn="0" w:noHBand="0" w:noVBand="1"/>
      </w:tblPr>
      <w:tblGrid>
        <w:gridCol w:w="4984"/>
        <w:gridCol w:w="4984"/>
      </w:tblGrid>
      <w:tr w:rsidR="00EE778A" w14:paraId="5C80B0B9" w14:textId="77777777" w:rsidTr="00AA4B6A">
        <w:tc>
          <w:tcPr>
            <w:tcW w:w="4984" w:type="dxa"/>
          </w:tcPr>
          <w:p w14:paraId="08C79C6A" w14:textId="77777777" w:rsidR="00EE778A" w:rsidRPr="00304B10" w:rsidRDefault="00EE778A" w:rsidP="00AA4B6A">
            <w:pPr>
              <w:autoSpaceDE w:val="0"/>
              <w:autoSpaceDN w:val="0"/>
              <w:adjustRightInd w:val="0"/>
              <w:jc w:val="center"/>
              <w:rPr>
                <w:rFonts w:ascii="Verdana" w:hAnsi="Verdana" w:cs="Arial"/>
                <w:b/>
                <w:bCs/>
                <w:sz w:val="20"/>
                <w:szCs w:val="20"/>
              </w:rPr>
            </w:pPr>
            <w:r w:rsidRPr="00304B10">
              <w:rPr>
                <w:rFonts w:ascii="Verdana" w:hAnsi="Verdana" w:cs="Arial"/>
                <w:b/>
                <w:bCs/>
                <w:sz w:val="20"/>
                <w:szCs w:val="20"/>
              </w:rPr>
              <w:t>Unit Holder</w:t>
            </w:r>
          </w:p>
        </w:tc>
        <w:tc>
          <w:tcPr>
            <w:tcW w:w="4984" w:type="dxa"/>
          </w:tcPr>
          <w:p w14:paraId="6CC85563" w14:textId="77777777" w:rsidR="00EE778A" w:rsidRPr="00304B10" w:rsidRDefault="00EE778A" w:rsidP="00AA4B6A">
            <w:pPr>
              <w:autoSpaceDE w:val="0"/>
              <w:autoSpaceDN w:val="0"/>
              <w:adjustRightInd w:val="0"/>
              <w:jc w:val="center"/>
              <w:rPr>
                <w:rFonts w:ascii="Verdana" w:hAnsi="Verdana" w:cs="Arial"/>
                <w:b/>
                <w:bCs/>
                <w:sz w:val="20"/>
                <w:szCs w:val="20"/>
              </w:rPr>
            </w:pPr>
            <w:r w:rsidRPr="00304B10">
              <w:rPr>
                <w:rFonts w:ascii="Verdana" w:hAnsi="Verdana" w:cs="Arial"/>
                <w:b/>
                <w:bCs/>
                <w:sz w:val="20"/>
                <w:szCs w:val="20"/>
              </w:rPr>
              <w:t>Distribution Amount</w:t>
            </w:r>
          </w:p>
        </w:tc>
      </w:tr>
      <w:tr w:rsidR="00EE778A" w14:paraId="02DEDFE6" w14:textId="77777777" w:rsidTr="00AA4B6A">
        <w:tc>
          <w:tcPr>
            <w:tcW w:w="4984" w:type="dxa"/>
          </w:tcPr>
          <w:p w14:paraId="5008897D" w14:textId="77777777" w:rsidR="00EE778A" w:rsidRDefault="00EE778A" w:rsidP="00AA4B6A">
            <w:pPr>
              <w:autoSpaceDE w:val="0"/>
              <w:autoSpaceDN w:val="0"/>
              <w:adjustRightInd w:val="0"/>
              <w:rPr>
                <w:rFonts w:ascii="Verdana" w:hAnsi="Verdana" w:cs="Arial"/>
                <w:sz w:val="20"/>
                <w:szCs w:val="20"/>
              </w:rPr>
            </w:pPr>
            <w:r>
              <w:rPr>
                <w:rFonts w:ascii="Verdana" w:hAnsi="Verdana" w:cs="Arial"/>
                <w:sz w:val="20"/>
                <w:szCs w:val="20"/>
              </w:rPr>
              <w:t>A Unit Holder – Peaslake Investments 1 plc</w:t>
            </w:r>
          </w:p>
        </w:tc>
        <w:tc>
          <w:tcPr>
            <w:tcW w:w="4984" w:type="dxa"/>
          </w:tcPr>
          <w:p w14:paraId="728F69E8" w14:textId="77777777" w:rsidR="00EE778A" w:rsidRDefault="00EE778A" w:rsidP="00AA4B6A">
            <w:pPr>
              <w:autoSpaceDE w:val="0"/>
              <w:autoSpaceDN w:val="0"/>
              <w:adjustRightInd w:val="0"/>
              <w:rPr>
                <w:rFonts w:ascii="Verdana" w:hAnsi="Verdana" w:cs="Arial"/>
                <w:sz w:val="20"/>
                <w:szCs w:val="20"/>
              </w:rPr>
            </w:pPr>
            <w:r>
              <w:rPr>
                <w:rFonts w:ascii="Verdana" w:hAnsi="Verdana" w:cs="Arial"/>
                <w:sz w:val="20"/>
                <w:szCs w:val="20"/>
              </w:rPr>
              <w:t>£350,000.00</w:t>
            </w:r>
          </w:p>
        </w:tc>
      </w:tr>
      <w:tr w:rsidR="00EE778A" w14:paraId="144311F7" w14:textId="77777777" w:rsidTr="00AA4B6A">
        <w:tc>
          <w:tcPr>
            <w:tcW w:w="4984" w:type="dxa"/>
          </w:tcPr>
          <w:p w14:paraId="3B401C59" w14:textId="77777777" w:rsidR="00EE778A" w:rsidRDefault="00EE778A" w:rsidP="00AA4B6A">
            <w:pPr>
              <w:autoSpaceDE w:val="0"/>
              <w:autoSpaceDN w:val="0"/>
              <w:adjustRightInd w:val="0"/>
              <w:rPr>
                <w:rFonts w:ascii="Verdana" w:hAnsi="Verdana" w:cs="Arial"/>
                <w:sz w:val="20"/>
                <w:szCs w:val="20"/>
              </w:rPr>
            </w:pPr>
            <w:r>
              <w:rPr>
                <w:rFonts w:ascii="Verdana" w:hAnsi="Verdana" w:cs="Arial"/>
                <w:sz w:val="20"/>
                <w:szCs w:val="20"/>
              </w:rPr>
              <w:t>B Unit Holder – Woodstar Group Ltd</w:t>
            </w:r>
          </w:p>
        </w:tc>
        <w:tc>
          <w:tcPr>
            <w:tcW w:w="4984" w:type="dxa"/>
          </w:tcPr>
          <w:p w14:paraId="258C591A" w14:textId="5221BDAF" w:rsidR="00EE778A" w:rsidRDefault="00EE778A" w:rsidP="00AA4B6A">
            <w:pPr>
              <w:autoSpaceDE w:val="0"/>
              <w:autoSpaceDN w:val="0"/>
              <w:adjustRightInd w:val="0"/>
              <w:rPr>
                <w:rFonts w:ascii="Verdana" w:hAnsi="Verdana" w:cs="Arial"/>
                <w:sz w:val="20"/>
                <w:szCs w:val="20"/>
              </w:rPr>
            </w:pPr>
            <w:r>
              <w:rPr>
                <w:rFonts w:ascii="Verdana" w:hAnsi="Verdana" w:cs="Arial"/>
                <w:sz w:val="20"/>
                <w:szCs w:val="20"/>
              </w:rPr>
              <w:t>£</w:t>
            </w:r>
            <w:r w:rsidR="00F3586E">
              <w:rPr>
                <w:rFonts w:ascii="Verdana" w:hAnsi="Verdana" w:cs="Arial"/>
                <w:sz w:val="20"/>
                <w:szCs w:val="20"/>
              </w:rPr>
              <w:t>0</w:t>
            </w:r>
            <w:r>
              <w:rPr>
                <w:rFonts w:ascii="Verdana" w:hAnsi="Verdana" w:cs="Arial"/>
                <w:sz w:val="20"/>
                <w:szCs w:val="20"/>
              </w:rPr>
              <w:t>.00</w:t>
            </w:r>
          </w:p>
        </w:tc>
      </w:tr>
      <w:tr w:rsidR="00EE778A" w14:paraId="6142F2E3" w14:textId="77777777" w:rsidTr="00AA4B6A">
        <w:tc>
          <w:tcPr>
            <w:tcW w:w="4984" w:type="dxa"/>
          </w:tcPr>
          <w:p w14:paraId="6C14EA33" w14:textId="77777777" w:rsidR="00EE778A" w:rsidRDefault="00EE778A" w:rsidP="00AA4B6A">
            <w:pPr>
              <w:autoSpaceDE w:val="0"/>
              <w:autoSpaceDN w:val="0"/>
              <w:adjustRightInd w:val="0"/>
              <w:rPr>
                <w:rFonts w:ascii="Verdana" w:hAnsi="Verdana" w:cs="Arial"/>
                <w:sz w:val="20"/>
                <w:szCs w:val="20"/>
              </w:rPr>
            </w:pPr>
            <w:r>
              <w:rPr>
                <w:rFonts w:ascii="Verdana" w:hAnsi="Verdana" w:cs="Arial"/>
                <w:sz w:val="20"/>
                <w:szCs w:val="20"/>
              </w:rPr>
              <w:t>C Unitholder – WSG 10 LLP</w:t>
            </w:r>
          </w:p>
        </w:tc>
        <w:tc>
          <w:tcPr>
            <w:tcW w:w="4984" w:type="dxa"/>
          </w:tcPr>
          <w:p w14:paraId="79698C94" w14:textId="232B79B2" w:rsidR="00EE778A" w:rsidRDefault="00F3586E" w:rsidP="00AA4B6A">
            <w:pPr>
              <w:autoSpaceDE w:val="0"/>
              <w:autoSpaceDN w:val="0"/>
              <w:adjustRightInd w:val="0"/>
              <w:rPr>
                <w:rFonts w:ascii="Verdana" w:hAnsi="Verdana" w:cs="Arial"/>
                <w:sz w:val="20"/>
                <w:szCs w:val="20"/>
              </w:rPr>
            </w:pPr>
            <w:r>
              <w:rPr>
                <w:rFonts w:ascii="Verdana" w:hAnsi="Verdana" w:cs="Arial"/>
                <w:sz w:val="20"/>
                <w:szCs w:val="20"/>
              </w:rPr>
              <w:t>£2,650,000.00</w:t>
            </w:r>
          </w:p>
        </w:tc>
      </w:tr>
      <w:tr w:rsidR="00EE778A" w14:paraId="6A2418E1" w14:textId="77777777" w:rsidTr="00AA4B6A">
        <w:tc>
          <w:tcPr>
            <w:tcW w:w="4984" w:type="dxa"/>
          </w:tcPr>
          <w:p w14:paraId="606CE8AC" w14:textId="77777777" w:rsidR="00EE778A" w:rsidRPr="00304B10" w:rsidRDefault="00EE778A" w:rsidP="00AA4B6A">
            <w:pPr>
              <w:autoSpaceDE w:val="0"/>
              <w:autoSpaceDN w:val="0"/>
              <w:adjustRightInd w:val="0"/>
              <w:rPr>
                <w:rFonts w:ascii="Verdana" w:hAnsi="Verdana" w:cs="Arial"/>
                <w:b/>
                <w:bCs/>
                <w:sz w:val="20"/>
                <w:szCs w:val="20"/>
              </w:rPr>
            </w:pPr>
            <w:r w:rsidRPr="00304B10">
              <w:rPr>
                <w:rFonts w:ascii="Verdana" w:hAnsi="Verdana" w:cs="Arial"/>
                <w:b/>
                <w:bCs/>
                <w:sz w:val="20"/>
                <w:szCs w:val="20"/>
              </w:rPr>
              <w:t>Total</w:t>
            </w:r>
          </w:p>
        </w:tc>
        <w:tc>
          <w:tcPr>
            <w:tcW w:w="4984" w:type="dxa"/>
          </w:tcPr>
          <w:p w14:paraId="4D26F223" w14:textId="77777777" w:rsidR="00EE778A" w:rsidRDefault="00EE778A" w:rsidP="00AA4B6A">
            <w:pPr>
              <w:autoSpaceDE w:val="0"/>
              <w:autoSpaceDN w:val="0"/>
              <w:adjustRightInd w:val="0"/>
              <w:rPr>
                <w:rFonts w:ascii="Verdana" w:hAnsi="Verdana" w:cs="Arial"/>
                <w:sz w:val="20"/>
                <w:szCs w:val="20"/>
              </w:rPr>
            </w:pPr>
            <w:r w:rsidRPr="00C52870">
              <w:rPr>
                <w:rFonts w:ascii="Verdana" w:hAnsi="Verdana" w:cs="Arial"/>
                <w:b/>
                <w:bCs/>
                <w:sz w:val="20"/>
                <w:szCs w:val="20"/>
              </w:rPr>
              <w:t>£3,000,000.00</w:t>
            </w:r>
          </w:p>
        </w:tc>
      </w:tr>
    </w:tbl>
    <w:p w14:paraId="05DB6CB9" w14:textId="77777777" w:rsidR="00EE778A" w:rsidRPr="00DD0896" w:rsidRDefault="00EE778A" w:rsidP="00EE778A">
      <w:pPr>
        <w:pStyle w:val="MH-2"/>
        <w:numPr>
          <w:ilvl w:val="0"/>
          <w:numId w:val="0"/>
        </w:numPr>
        <w:rPr>
          <w:rFonts w:cs="Arial"/>
          <w:sz w:val="20"/>
          <w:szCs w:val="20"/>
        </w:rPr>
      </w:pPr>
      <w:r>
        <w:rPr>
          <w:rFonts w:cs="Arial"/>
          <w:sz w:val="20"/>
          <w:szCs w:val="20"/>
        </w:rPr>
        <w:t>(the “</w:t>
      </w:r>
      <w:r>
        <w:rPr>
          <w:rFonts w:cs="Arial"/>
          <w:b/>
          <w:bCs/>
          <w:sz w:val="20"/>
          <w:szCs w:val="20"/>
        </w:rPr>
        <w:t>Distribution</w:t>
      </w:r>
      <w:r>
        <w:rPr>
          <w:rFonts w:cs="Arial"/>
          <w:sz w:val="20"/>
          <w:szCs w:val="20"/>
        </w:rPr>
        <w:t>”)</w:t>
      </w:r>
    </w:p>
    <w:p w14:paraId="4DE6A7C8" w14:textId="77777777" w:rsidR="00EE778A" w:rsidRDefault="00EE778A" w:rsidP="00EE778A">
      <w:pPr>
        <w:pStyle w:val="MH-2"/>
        <w:numPr>
          <w:ilvl w:val="0"/>
          <w:numId w:val="0"/>
        </w:numPr>
        <w:rPr>
          <w:rFonts w:cs="Arial"/>
          <w:sz w:val="20"/>
          <w:szCs w:val="20"/>
        </w:rPr>
      </w:pPr>
      <w:r w:rsidRPr="00851A07">
        <w:rPr>
          <w:rFonts w:cs="Arial"/>
          <w:b/>
          <w:bCs/>
          <w:sz w:val="20"/>
          <w:szCs w:val="20"/>
        </w:rPr>
        <w:t>AND WHEREAS</w:t>
      </w:r>
      <w:r>
        <w:rPr>
          <w:rFonts w:cs="Arial"/>
          <w:sz w:val="20"/>
          <w:szCs w:val="20"/>
        </w:rPr>
        <w:t xml:space="preserve"> it is acknowledged by the Unitholders that, notwithstanding any of the provisions of the Trust Instrument, the Unitholders consider the act of approving the Distribution a legitimate exercise of the discretion of the Trustees pursuant to Clause 35 of the Trust Instrument and therefore no “breach of trust” would be arising in relation to the approval of the Distribution for the purpose of the Trust Instrument or the Trusts (Jersey) Law 1984.    </w:t>
      </w:r>
    </w:p>
    <w:p w14:paraId="24BF94CD" w14:textId="77777777" w:rsidR="00EE778A" w:rsidRDefault="00EE778A" w:rsidP="00EE778A">
      <w:pPr>
        <w:pStyle w:val="NoSpacing"/>
        <w:rPr>
          <w:rFonts w:ascii="Verdana" w:hAnsi="Verdana" w:cs="Arial"/>
          <w:sz w:val="20"/>
          <w:szCs w:val="20"/>
        </w:rPr>
      </w:pPr>
    </w:p>
    <w:p w14:paraId="64BC3A96" w14:textId="77777777" w:rsidR="00EE778A" w:rsidRPr="001762CC" w:rsidRDefault="00EE778A" w:rsidP="00EE778A">
      <w:pPr>
        <w:pStyle w:val="NoSpacing"/>
        <w:rPr>
          <w:rFonts w:ascii="Verdana" w:hAnsi="Verdana" w:cs="Arial"/>
          <w:sz w:val="20"/>
          <w:szCs w:val="20"/>
        </w:rPr>
      </w:pPr>
      <w:r w:rsidRPr="001762CC">
        <w:rPr>
          <w:rFonts w:ascii="Verdana" w:hAnsi="Verdana" w:cs="Arial"/>
          <w:sz w:val="20"/>
          <w:szCs w:val="20"/>
        </w:rPr>
        <w:t xml:space="preserve">We, the undersigned, being </w:t>
      </w:r>
      <w:r>
        <w:rPr>
          <w:rFonts w:ascii="Verdana" w:hAnsi="Verdana" w:cs="Arial"/>
          <w:sz w:val="20"/>
          <w:szCs w:val="20"/>
        </w:rPr>
        <w:t xml:space="preserve">the </w:t>
      </w:r>
      <w:r w:rsidRPr="001762CC">
        <w:rPr>
          <w:rFonts w:ascii="Verdana" w:hAnsi="Verdana" w:cs="Arial"/>
          <w:sz w:val="20"/>
          <w:szCs w:val="20"/>
        </w:rPr>
        <w:t>Unitholder</w:t>
      </w:r>
      <w:r>
        <w:rPr>
          <w:rFonts w:ascii="Verdana" w:hAnsi="Verdana" w:cs="Arial"/>
          <w:sz w:val="20"/>
          <w:szCs w:val="20"/>
        </w:rPr>
        <w:t>s</w:t>
      </w:r>
      <w:r w:rsidRPr="001762CC">
        <w:rPr>
          <w:rFonts w:ascii="Verdana" w:hAnsi="Verdana" w:cs="Arial"/>
          <w:sz w:val="20"/>
          <w:szCs w:val="20"/>
        </w:rPr>
        <w:t xml:space="preserve"> of the Trust who would be entitled to vote at a meeting of the </w:t>
      </w:r>
      <w:r>
        <w:rPr>
          <w:rFonts w:ascii="Verdana" w:hAnsi="Verdana" w:cs="Arial"/>
          <w:sz w:val="20"/>
          <w:szCs w:val="20"/>
        </w:rPr>
        <w:t>Unith</w:t>
      </w:r>
      <w:r w:rsidRPr="001762CC">
        <w:rPr>
          <w:rFonts w:ascii="Verdana" w:hAnsi="Verdana" w:cs="Arial"/>
          <w:sz w:val="20"/>
          <w:szCs w:val="20"/>
        </w:rPr>
        <w:t xml:space="preserve">olders, hereby </w:t>
      </w:r>
      <w:r w:rsidRPr="001762CC">
        <w:rPr>
          <w:rFonts w:ascii="Verdana" w:hAnsi="Verdana" w:cs="Arial"/>
          <w:b/>
          <w:sz w:val="20"/>
          <w:szCs w:val="20"/>
        </w:rPr>
        <w:t xml:space="preserve">RESOLVE </w:t>
      </w:r>
      <w:r w:rsidRPr="001762CC">
        <w:rPr>
          <w:rFonts w:ascii="Verdana" w:hAnsi="Verdana" w:cs="Arial"/>
          <w:sz w:val="20"/>
          <w:szCs w:val="20"/>
        </w:rPr>
        <w:t xml:space="preserve">to pass the following </w:t>
      </w:r>
      <w:r>
        <w:rPr>
          <w:rFonts w:ascii="Verdana" w:hAnsi="Verdana" w:cs="Arial"/>
          <w:sz w:val="20"/>
          <w:szCs w:val="20"/>
        </w:rPr>
        <w:t xml:space="preserve">unanimous </w:t>
      </w:r>
      <w:r w:rsidRPr="001762CC">
        <w:rPr>
          <w:rFonts w:ascii="Verdana" w:hAnsi="Verdana" w:cs="Arial"/>
          <w:sz w:val="20"/>
          <w:szCs w:val="20"/>
        </w:rPr>
        <w:t>resolution</w:t>
      </w:r>
      <w:r>
        <w:rPr>
          <w:rFonts w:ascii="Verdana" w:hAnsi="Verdana" w:cs="Arial"/>
          <w:sz w:val="20"/>
          <w:szCs w:val="20"/>
        </w:rPr>
        <w:t>s</w:t>
      </w:r>
      <w:r w:rsidRPr="001762CC">
        <w:rPr>
          <w:rFonts w:ascii="Verdana" w:hAnsi="Verdana" w:cs="Arial"/>
          <w:sz w:val="20"/>
          <w:szCs w:val="20"/>
        </w:rPr>
        <w:t xml:space="preserve"> in writing in accordance with the terms of the Trust Instrument, effective upon the date stated below: </w:t>
      </w:r>
    </w:p>
    <w:p w14:paraId="24207C96" w14:textId="77777777" w:rsidR="00EE778A" w:rsidRPr="001762CC" w:rsidRDefault="00EE778A" w:rsidP="00EE778A">
      <w:pPr>
        <w:pStyle w:val="NoSpacing"/>
        <w:rPr>
          <w:rFonts w:ascii="Verdana" w:hAnsi="Verdana" w:cs="Arial"/>
          <w:sz w:val="20"/>
          <w:szCs w:val="20"/>
        </w:rPr>
      </w:pPr>
    </w:p>
    <w:p w14:paraId="0D585625" w14:textId="77777777" w:rsidR="00EE778A" w:rsidRDefault="00EE778A" w:rsidP="00EE778A">
      <w:pPr>
        <w:pStyle w:val="NoSpacing"/>
        <w:numPr>
          <w:ilvl w:val="0"/>
          <w:numId w:val="7"/>
        </w:numPr>
        <w:rPr>
          <w:rFonts w:ascii="Verdana" w:hAnsi="Verdana" w:cs="Arial"/>
          <w:sz w:val="20"/>
          <w:szCs w:val="20"/>
        </w:rPr>
      </w:pPr>
      <w:r w:rsidRPr="00151ECA">
        <w:rPr>
          <w:rFonts w:ascii="Verdana" w:hAnsi="Verdana" w:cs="Arial"/>
          <w:b/>
          <w:bCs/>
          <w:sz w:val="20"/>
          <w:szCs w:val="20"/>
        </w:rPr>
        <w:t xml:space="preserve">THAT </w:t>
      </w:r>
      <w:r w:rsidRPr="00151ECA">
        <w:rPr>
          <w:rFonts w:ascii="Verdana" w:hAnsi="Verdana" w:cs="Arial"/>
          <w:sz w:val="20"/>
          <w:szCs w:val="20"/>
        </w:rPr>
        <w:t xml:space="preserve">the </w:t>
      </w:r>
      <w:r>
        <w:rPr>
          <w:rFonts w:ascii="Verdana" w:hAnsi="Verdana" w:cs="Arial"/>
          <w:sz w:val="20"/>
          <w:szCs w:val="20"/>
        </w:rPr>
        <w:t>Lease Variation is approved for all purposes including, without limitation, for the purpose of Schedule 6 of the Trust Instrument</w:t>
      </w:r>
      <w:r w:rsidRPr="00151ECA">
        <w:rPr>
          <w:rFonts w:ascii="Verdana" w:hAnsi="Verdana" w:cs="Arial"/>
          <w:sz w:val="20"/>
          <w:szCs w:val="20"/>
        </w:rPr>
        <w:t>;</w:t>
      </w:r>
      <w:r>
        <w:rPr>
          <w:rFonts w:ascii="Verdana" w:hAnsi="Verdana" w:cs="Arial"/>
          <w:sz w:val="20"/>
          <w:szCs w:val="20"/>
        </w:rPr>
        <w:t xml:space="preserve"> </w:t>
      </w:r>
    </w:p>
    <w:p w14:paraId="10ED8024" w14:textId="77777777" w:rsidR="00EE778A" w:rsidRPr="00151ECA" w:rsidRDefault="00EE778A" w:rsidP="00EE778A">
      <w:pPr>
        <w:pStyle w:val="NoSpacing"/>
        <w:ind w:left="720"/>
        <w:rPr>
          <w:rFonts w:ascii="Verdana" w:hAnsi="Verdana" w:cs="Arial"/>
          <w:sz w:val="20"/>
          <w:szCs w:val="20"/>
        </w:rPr>
      </w:pPr>
      <w:r w:rsidRPr="00151ECA">
        <w:rPr>
          <w:rFonts w:ascii="Verdana" w:hAnsi="Verdana" w:cs="Arial"/>
          <w:sz w:val="20"/>
          <w:szCs w:val="20"/>
        </w:rPr>
        <w:t xml:space="preserve"> </w:t>
      </w:r>
    </w:p>
    <w:p w14:paraId="0259AF7C" w14:textId="77777777" w:rsidR="00EE778A" w:rsidRDefault="00EE778A" w:rsidP="00EE778A">
      <w:pPr>
        <w:pStyle w:val="NoSpacing"/>
        <w:numPr>
          <w:ilvl w:val="0"/>
          <w:numId w:val="7"/>
        </w:numPr>
        <w:rPr>
          <w:rFonts w:ascii="Verdana" w:hAnsi="Verdana" w:cs="Arial"/>
          <w:sz w:val="20"/>
          <w:szCs w:val="20"/>
        </w:rPr>
      </w:pPr>
      <w:r w:rsidRPr="009E3D7A">
        <w:rPr>
          <w:rFonts w:ascii="Verdana" w:hAnsi="Verdana" w:cs="Arial"/>
          <w:b/>
          <w:bCs/>
          <w:sz w:val="20"/>
          <w:szCs w:val="20"/>
        </w:rPr>
        <w:lastRenderedPageBreak/>
        <w:t>THAT</w:t>
      </w:r>
      <w:r w:rsidRPr="001762CC">
        <w:rPr>
          <w:rFonts w:ascii="Verdana" w:hAnsi="Verdana" w:cs="Arial"/>
          <w:sz w:val="20"/>
          <w:szCs w:val="20"/>
        </w:rPr>
        <w:t xml:space="preserve"> the Trustees are permitted to enter the </w:t>
      </w:r>
      <w:r>
        <w:rPr>
          <w:rFonts w:ascii="Verdana" w:hAnsi="Verdana" w:cs="Arial"/>
          <w:sz w:val="20"/>
          <w:szCs w:val="20"/>
        </w:rPr>
        <w:t>Agreement to Vary and Deed of Variation to formally document the Lease Variation; and</w:t>
      </w:r>
    </w:p>
    <w:p w14:paraId="45ADE9AF" w14:textId="77777777" w:rsidR="00EE778A" w:rsidRDefault="00EE778A" w:rsidP="00EE778A">
      <w:pPr>
        <w:pStyle w:val="ListParagraph"/>
        <w:rPr>
          <w:rFonts w:ascii="Verdana" w:hAnsi="Verdana" w:cs="Arial"/>
          <w:sz w:val="20"/>
          <w:szCs w:val="20"/>
        </w:rPr>
      </w:pPr>
    </w:p>
    <w:p w14:paraId="3BEABCE9" w14:textId="7416E827" w:rsidR="00EE778A" w:rsidRDefault="00EE778A" w:rsidP="00EE778A">
      <w:pPr>
        <w:pStyle w:val="NoSpacing"/>
        <w:numPr>
          <w:ilvl w:val="0"/>
          <w:numId w:val="7"/>
        </w:numPr>
        <w:rPr>
          <w:rFonts w:ascii="Verdana" w:hAnsi="Verdana" w:cs="Arial"/>
          <w:sz w:val="20"/>
          <w:szCs w:val="20"/>
        </w:rPr>
      </w:pPr>
      <w:r w:rsidRPr="00CF128C">
        <w:rPr>
          <w:rFonts w:ascii="Verdana" w:hAnsi="Verdana" w:cs="Arial"/>
          <w:b/>
          <w:bCs/>
          <w:sz w:val="20"/>
          <w:szCs w:val="20"/>
        </w:rPr>
        <w:t>THAT</w:t>
      </w:r>
      <w:r>
        <w:rPr>
          <w:rFonts w:ascii="Verdana" w:hAnsi="Verdana" w:cs="Arial"/>
          <w:sz w:val="20"/>
          <w:szCs w:val="20"/>
        </w:rPr>
        <w:t xml:space="preserve">, notwithstanding any of the provisions of the Trust Instrument, (i) the Premium shall not constitute Rental Income for the purposes of the Trust Instrument and (ii) the Trustees are permitted to approve and pay </w:t>
      </w:r>
      <w:r w:rsidR="00076A9D">
        <w:rPr>
          <w:rFonts w:ascii="Verdana" w:hAnsi="Verdana" w:cs="Arial"/>
          <w:sz w:val="20"/>
          <w:szCs w:val="20"/>
        </w:rPr>
        <w:t>the</w:t>
      </w:r>
      <w:r>
        <w:rPr>
          <w:rFonts w:ascii="Verdana" w:hAnsi="Verdana" w:cs="Arial"/>
          <w:sz w:val="20"/>
          <w:szCs w:val="20"/>
        </w:rPr>
        <w:t xml:space="preserve"> Distribution from the Trust Fund to the Unitholders, as follows:</w:t>
      </w:r>
    </w:p>
    <w:p w14:paraId="375E1B6D" w14:textId="77777777" w:rsidR="00EE778A" w:rsidRDefault="00EE778A" w:rsidP="00EE778A">
      <w:pPr>
        <w:pStyle w:val="ListParagraph"/>
        <w:rPr>
          <w:rFonts w:ascii="Verdana" w:hAnsi="Verdana" w:cs="Arial"/>
          <w:sz w:val="20"/>
          <w:szCs w:val="20"/>
        </w:rPr>
      </w:pPr>
    </w:p>
    <w:tbl>
      <w:tblPr>
        <w:tblStyle w:val="TableGrid"/>
        <w:tblW w:w="0" w:type="auto"/>
        <w:tblLook w:val="04A0" w:firstRow="1" w:lastRow="0" w:firstColumn="1" w:lastColumn="0" w:noHBand="0" w:noVBand="1"/>
      </w:tblPr>
      <w:tblGrid>
        <w:gridCol w:w="4984"/>
        <w:gridCol w:w="4984"/>
      </w:tblGrid>
      <w:tr w:rsidR="00EE778A" w14:paraId="2F9E2BA1" w14:textId="77777777" w:rsidTr="00AA4B6A">
        <w:tc>
          <w:tcPr>
            <w:tcW w:w="4984" w:type="dxa"/>
          </w:tcPr>
          <w:p w14:paraId="304EE3D7" w14:textId="77777777" w:rsidR="00EE778A" w:rsidRPr="00304B10" w:rsidRDefault="00EE778A" w:rsidP="00AA4B6A">
            <w:pPr>
              <w:autoSpaceDE w:val="0"/>
              <w:autoSpaceDN w:val="0"/>
              <w:adjustRightInd w:val="0"/>
              <w:jc w:val="center"/>
              <w:rPr>
                <w:rFonts w:ascii="Verdana" w:hAnsi="Verdana" w:cs="Arial"/>
                <w:b/>
                <w:bCs/>
                <w:sz w:val="20"/>
                <w:szCs w:val="20"/>
              </w:rPr>
            </w:pPr>
            <w:r w:rsidRPr="00304B10">
              <w:rPr>
                <w:rFonts w:ascii="Verdana" w:hAnsi="Verdana" w:cs="Arial"/>
                <w:b/>
                <w:bCs/>
                <w:sz w:val="20"/>
                <w:szCs w:val="20"/>
              </w:rPr>
              <w:t>Unit Holder</w:t>
            </w:r>
          </w:p>
        </w:tc>
        <w:tc>
          <w:tcPr>
            <w:tcW w:w="4984" w:type="dxa"/>
          </w:tcPr>
          <w:p w14:paraId="5D876E45" w14:textId="77777777" w:rsidR="00EE778A" w:rsidRPr="00304B10" w:rsidRDefault="00EE778A" w:rsidP="00AA4B6A">
            <w:pPr>
              <w:autoSpaceDE w:val="0"/>
              <w:autoSpaceDN w:val="0"/>
              <w:adjustRightInd w:val="0"/>
              <w:jc w:val="center"/>
              <w:rPr>
                <w:rFonts w:ascii="Verdana" w:hAnsi="Verdana" w:cs="Arial"/>
                <w:b/>
                <w:bCs/>
                <w:sz w:val="20"/>
                <w:szCs w:val="20"/>
              </w:rPr>
            </w:pPr>
            <w:r w:rsidRPr="00304B10">
              <w:rPr>
                <w:rFonts w:ascii="Verdana" w:hAnsi="Verdana" w:cs="Arial"/>
                <w:b/>
                <w:bCs/>
                <w:sz w:val="20"/>
                <w:szCs w:val="20"/>
              </w:rPr>
              <w:t>Distribution Amount</w:t>
            </w:r>
          </w:p>
        </w:tc>
      </w:tr>
      <w:tr w:rsidR="00EE778A" w14:paraId="13A8FAE9" w14:textId="77777777" w:rsidTr="00AA4B6A">
        <w:tc>
          <w:tcPr>
            <w:tcW w:w="4984" w:type="dxa"/>
          </w:tcPr>
          <w:p w14:paraId="61FC7BCE" w14:textId="77777777" w:rsidR="00EE778A" w:rsidRDefault="00EE778A" w:rsidP="00AA4B6A">
            <w:pPr>
              <w:autoSpaceDE w:val="0"/>
              <w:autoSpaceDN w:val="0"/>
              <w:adjustRightInd w:val="0"/>
              <w:rPr>
                <w:rFonts w:ascii="Verdana" w:hAnsi="Verdana" w:cs="Arial"/>
                <w:sz w:val="20"/>
                <w:szCs w:val="20"/>
              </w:rPr>
            </w:pPr>
            <w:r>
              <w:rPr>
                <w:rFonts w:ascii="Verdana" w:hAnsi="Verdana" w:cs="Arial"/>
                <w:sz w:val="20"/>
                <w:szCs w:val="20"/>
              </w:rPr>
              <w:t>A Unit Holder – Peaslake Investments 1 plc</w:t>
            </w:r>
          </w:p>
        </w:tc>
        <w:tc>
          <w:tcPr>
            <w:tcW w:w="4984" w:type="dxa"/>
          </w:tcPr>
          <w:p w14:paraId="2E267025" w14:textId="77777777" w:rsidR="00EE778A" w:rsidRDefault="00EE778A" w:rsidP="00AA4B6A">
            <w:pPr>
              <w:autoSpaceDE w:val="0"/>
              <w:autoSpaceDN w:val="0"/>
              <w:adjustRightInd w:val="0"/>
              <w:rPr>
                <w:rFonts w:ascii="Verdana" w:hAnsi="Verdana" w:cs="Arial"/>
                <w:sz w:val="20"/>
                <w:szCs w:val="20"/>
              </w:rPr>
            </w:pPr>
            <w:r>
              <w:rPr>
                <w:rFonts w:ascii="Verdana" w:hAnsi="Verdana" w:cs="Arial"/>
                <w:sz w:val="20"/>
                <w:szCs w:val="20"/>
              </w:rPr>
              <w:t>£350,000.00</w:t>
            </w:r>
          </w:p>
        </w:tc>
      </w:tr>
      <w:tr w:rsidR="00EE778A" w14:paraId="32849EA2" w14:textId="77777777" w:rsidTr="00AA4B6A">
        <w:tc>
          <w:tcPr>
            <w:tcW w:w="4984" w:type="dxa"/>
          </w:tcPr>
          <w:p w14:paraId="54AE6A5A" w14:textId="77777777" w:rsidR="00EE778A" w:rsidRDefault="00EE778A" w:rsidP="00AA4B6A">
            <w:pPr>
              <w:autoSpaceDE w:val="0"/>
              <w:autoSpaceDN w:val="0"/>
              <w:adjustRightInd w:val="0"/>
              <w:rPr>
                <w:rFonts w:ascii="Verdana" w:hAnsi="Verdana" w:cs="Arial"/>
                <w:sz w:val="20"/>
                <w:szCs w:val="20"/>
              </w:rPr>
            </w:pPr>
            <w:r>
              <w:rPr>
                <w:rFonts w:ascii="Verdana" w:hAnsi="Verdana" w:cs="Arial"/>
                <w:sz w:val="20"/>
                <w:szCs w:val="20"/>
              </w:rPr>
              <w:t>B Unit Holder – Woodstar Group Ltd</w:t>
            </w:r>
          </w:p>
        </w:tc>
        <w:tc>
          <w:tcPr>
            <w:tcW w:w="4984" w:type="dxa"/>
          </w:tcPr>
          <w:p w14:paraId="4232D0E4" w14:textId="4BCA7EE1" w:rsidR="00EE778A" w:rsidRDefault="00EE778A" w:rsidP="00AA4B6A">
            <w:pPr>
              <w:autoSpaceDE w:val="0"/>
              <w:autoSpaceDN w:val="0"/>
              <w:adjustRightInd w:val="0"/>
              <w:rPr>
                <w:rFonts w:ascii="Verdana" w:hAnsi="Verdana" w:cs="Arial"/>
                <w:sz w:val="20"/>
                <w:szCs w:val="20"/>
              </w:rPr>
            </w:pPr>
            <w:r>
              <w:rPr>
                <w:rFonts w:ascii="Verdana" w:hAnsi="Verdana" w:cs="Arial"/>
                <w:sz w:val="20"/>
                <w:szCs w:val="20"/>
              </w:rPr>
              <w:t>£</w:t>
            </w:r>
            <w:r w:rsidR="004112EB">
              <w:rPr>
                <w:rFonts w:ascii="Verdana" w:hAnsi="Verdana" w:cs="Arial"/>
                <w:sz w:val="20"/>
                <w:szCs w:val="20"/>
              </w:rPr>
              <w:t>0</w:t>
            </w:r>
            <w:r>
              <w:rPr>
                <w:rFonts w:ascii="Verdana" w:hAnsi="Verdana" w:cs="Arial"/>
                <w:sz w:val="20"/>
                <w:szCs w:val="20"/>
              </w:rPr>
              <w:t>.00</w:t>
            </w:r>
          </w:p>
        </w:tc>
      </w:tr>
      <w:tr w:rsidR="00EE778A" w14:paraId="2A8065E9" w14:textId="77777777" w:rsidTr="00AA4B6A">
        <w:tc>
          <w:tcPr>
            <w:tcW w:w="4984" w:type="dxa"/>
          </w:tcPr>
          <w:p w14:paraId="24C68498" w14:textId="77777777" w:rsidR="00EE778A" w:rsidRDefault="00EE778A" w:rsidP="00AA4B6A">
            <w:pPr>
              <w:autoSpaceDE w:val="0"/>
              <w:autoSpaceDN w:val="0"/>
              <w:adjustRightInd w:val="0"/>
              <w:rPr>
                <w:rFonts w:ascii="Verdana" w:hAnsi="Verdana" w:cs="Arial"/>
                <w:sz w:val="20"/>
                <w:szCs w:val="20"/>
              </w:rPr>
            </w:pPr>
            <w:r>
              <w:rPr>
                <w:rFonts w:ascii="Verdana" w:hAnsi="Verdana" w:cs="Arial"/>
                <w:sz w:val="20"/>
                <w:szCs w:val="20"/>
              </w:rPr>
              <w:t>C Unitholder – WSG 10 LLP</w:t>
            </w:r>
          </w:p>
        </w:tc>
        <w:tc>
          <w:tcPr>
            <w:tcW w:w="4984" w:type="dxa"/>
          </w:tcPr>
          <w:p w14:paraId="6ED98997" w14:textId="5FAA6640" w:rsidR="00EE778A" w:rsidRDefault="004112EB" w:rsidP="00AA4B6A">
            <w:pPr>
              <w:autoSpaceDE w:val="0"/>
              <w:autoSpaceDN w:val="0"/>
              <w:adjustRightInd w:val="0"/>
              <w:rPr>
                <w:rFonts w:ascii="Verdana" w:hAnsi="Verdana" w:cs="Arial"/>
                <w:sz w:val="20"/>
                <w:szCs w:val="20"/>
              </w:rPr>
            </w:pPr>
            <w:r>
              <w:rPr>
                <w:rFonts w:ascii="Verdana" w:hAnsi="Verdana" w:cs="Arial"/>
                <w:sz w:val="20"/>
                <w:szCs w:val="20"/>
              </w:rPr>
              <w:t>£2,650,000.00</w:t>
            </w:r>
          </w:p>
        </w:tc>
      </w:tr>
      <w:tr w:rsidR="00EE778A" w14:paraId="3475BB61" w14:textId="77777777" w:rsidTr="00AA4B6A">
        <w:tc>
          <w:tcPr>
            <w:tcW w:w="4984" w:type="dxa"/>
          </w:tcPr>
          <w:p w14:paraId="1AD25F75" w14:textId="77777777" w:rsidR="00EE778A" w:rsidRPr="00304B10" w:rsidRDefault="00EE778A" w:rsidP="00AA4B6A">
            <w:pPr>
              <w:autoSpaceDE w:val="0"/>
              <w:autoSpaceDN w:val="0"/>
              <w:adjustRightInd w:val="0"/>
              <w:rPr>
                <w:rFonts w:ascii="Verdana" w:hAnsi="Verdana" w:cs="Arial"/>
                <w:b/>
                <w:bCs/>
                <w:sz w:val="20"/>
                <w:szCs w:val="20"/>
              </w:rPr>
            </w:pPr>
            <w:r w:rsidRPr="00304B10">
              <w:rPr>
                <w:rFonts w:ascii="Verdana" w:hAnsi="Verdana" w:cs="Arial"/>
                <w:b/>
                <w:bCs/>
                <w:sz w:val="20"/>
                <w:szCs w:val="20"/>
              </w:rPr>
              <w:t>Total</w:t>
            </w:r>
          </w:p>
        </w:tc>
        <w:tc>
          <w:tcPr>
            <w:tcW w:w="4984" w:type="dxa"/>
          </w:tcPr>
          <w:p w14:paraId="13A4CDBE" w14:textId="77777777" w:rsidR="00EE778A" w:rsidRDefault="00EE778A" w:rsidP="00AA4B6A">
            <w:pPr>
              <w:autoSpaceDE w:val="0"/>
              <w:autoSpaceDN w:val="0"/>
              <w:adjustRightInd w:val="0"/>
              <w:rPr>
                <w:rFonts w:ascii="Verdana" w:hAnsi="Verdana" w:cs="Arial"/>
                <w:sz w:val="20"/>
                <w:szCs w:val="20"/>
              </w:rPr>
            </w:pPr>
            <w:r w:rsidRPr="00C52870">
              <w:rPr>
                <w:rFonts w:ascii="Verdana" w:hAnsi="Verdana" w:cs="Arial"/>
                <w:b/>
                <w:bCs/>
                <w:sz w:val="20"/>
                <w:szCs w:val="20"/>
              </w:rPr>
              <w:t>£3,000,000.00</w:t>
            </w:r>
          </w:p>
        </w:tc>
      </w:tr>
    </w:tbl>
    <w:p w14:paraId="23A24B69" w14:textId="77777777" w:rsidR="00EE778A" w:rsidRDefault="00EE778A" w:rsidP="00EE778A">
      <w:pPr>
        <w:pStyle w:val="NoSpacing"/>
        <w:ind w:left="720"/>
        <w:rPr>
          <w:rFonts w:ascii="Verdana" w:hAnsi="Verdana" w:cs="Arial"/>
          <w:sz w:val="20"/>
          <w:szCs w:val="20"/>
        </w:rPr>
      </w:pPr>
    </w:p>
    <w:p w14:paraId="2433C673" w14:textId="77777777" w:rsidR="00EE778A" w:rsidRDefault="00EE778A" w:rsidP="00EE778A">
      <w:pPr>
        <w:autoSpaceDE w:val="0"/>
        <w:autoSpaceDN w:val="0"/>
        <w:adjustRightInd w:val="0"/>
        <w:rPr>
          <w:rFonts w:ascii="Verdana" w:hAnsi="Verdana" w:cs="Arial"/>
          <w:sz w:val="20"/>
          <w:szCs w:val="20"/>
        </w:rPr>
      </w:pPr>
    </w:p>
    <w:p w14:paraId="7150F24E" w14:textId="77777777" w:rsidR="00EE778A" w:rsidRPr="001762CC" w:rsidRDefault="00EE778A" w:rsidP="00EE778A">
      <w:pPr>
        <w:autoSpaceDE w:val="0"/>
        <w:autoSpaceDN w:val="0"/>
        <w:adjustRightInd w:val="0"/>
        <w:rPr>
          <w:rFonts w:ascii="Verdana" w:hAnsi="Verdana" w:cs="Arial"/>
          <w:sz w:val="20"/>
          <w:szCs w:val="20"/>
        </w:rPr>
      </w:pPr>
      <w:r w:rsidRPr="001762CC">
        <w:rPr>
          <w:rFonts w:ascii="Verdana" w:hAnsi="Verdana" w:cs="Arial"/>
          <w:sz w:val="20"/>
          <w:szCs w:val="20"/>
        </w:rPr>
        <w:t xml:space="preserve">The resolution in writing may be executed in any number of counterparts; each of which when executed and delivered shall be an original, but which together shall constitute a single document. This resolution in writing shall be effective when it is signed by or on behalf of </w:t>
      </w:r>
      <w:r>
        <w:rPr>
          <w:rFonts w:ascii="Verdana" w:hAnsi="Verdana" w:cs="Arial"/>
          <w:sz w:val="20"/>
          <w:szCs w:val="20"/>
        </w:rPr>
        <w:t xml:space="preserve">each </w:t>
      </w:r>
      <w:r w:rsidRPr="001762CC">
        <w:rPr>
          <w:rFonts w:ascii="Verdana" w:hAnsi="Verdana" w:cs="Arial"/>
          <w:sz w:val="20"/>
          <w:szCs w:val="20"/>
        </w:rPr>
        <w:t>Unitholder.</w:t>
      </w:r>
    </w:p>
    <w:p w14:paraId="496C93F2" w14:textId="77777777" w:rsidR="00EE778A" w:rsidRPr="001762CC" w:rsidRDefault="00EE778A" w:rsidP="00EE778A">
      <w:pPr>
        <w:autoSpaceDE w:val="0"/>
        <w:autoSpaceDN w:val="0"/>
        <w:adjustRightInd w:val="0"/>
        <w:rPr>
          <w:rFonts w:ascii="Verdana" w:hAnsi="Verdana" w:cs="Arial"/>
          <w:sz w:val="20"/>
          <w:szCs w:val="20"/>
        </w:rPr>
      </w:pPr>
    </w:p>
    <w:p w14:paraId="65747D42" w14:textId="51D47CF4" w:rsidR="00EE778A" w:rsidRPr="001762CC" w:rsidRDefault="00EE778A" w:rsidP="00EE778A">
      <w:pPr>
        <w:rPr>
          <w:rFonts w:ascii="Verdana" w:hAnsi="Verdana" w:cs="Arial"/>
          <w:sz w:val="20"/>
          <w:szCs w:val="20"/>
        </w:rPr>
      </w:pPr>
      <w:r w:rsidRPr="001762CC">
        <w:rPr>
          <w:rFonts w:ascii="Verdana" w:hAnsi="Verdana" w:cs="Arial"/>
          <w:sz w:val="20"/>
          <w:szCs w:val="20"/>
        </w:rPr>
        <w:t xml:space="preserve">Effective this    day of </w:t>
      </w:r>
      <w:r w:rsidR="000305E8">
        <w:rPr>
          <w:rFonts w:ascii="Verdana" w:hAnsi="Verdana" w:cs="Arial"/>
          <w:sz w:val="20"/>
          <w:szCs w:val="20"/>
        </w:rPr>
        <w:t>March</w:t>
      </w:r>
      <w:r w:rsidRPr="001762CC">
        <w:rPr>
          <w:rFonts w:ascii="Verdana" w:hAnsi="Verdana" w:cs="Arial"/>
          <w:sz w:val="20"/>
          <w:szCs w:val="20"/>
        </w:rPr>
        <w:t xml:space="preserve">  202</w:t>
      </w:r>
      <w:r>
        <w:rPr>
          <w:rFonts w:ascii="Verdana" w:hAnsi="Verdana" w:cs="Arial"/>
          <w:sz w:val="20"/>
          <w:szCs w:val="20"/>
        </w:rPr>
        <w:t>3</w:t>
      </w:r>
    </w:p>
    <w:p w14:paraId="40F63EB8" w14:textId="77777777" w:rsidR="00EE778A" w:rsidRPr="001762CC" w:rsidRDefault="00EE778A" w:rsidP="00EE778A">
      <w:pPr>
        <w:rPr>
          <w:rFonts w:ascii="Verdana" w:hAnsi="Verdana" w:cs="Arial"/>
          <w:sz w:val="20"/>
          <w:szCs w:val="20"/>
        </w:rPr>
      </w:pPr>
    </w:p>
    <w:p w14:paraId="41D0E858" w14:textId="77777777" w:rsidR="00EE778A" w:rsidRPr="001762CC" w:rsidRDefault="00EE778A" w:rsidP="00EE778A">
      <w:pPr>
        <w:rPr>
          <w:rFonts w:ascii="Verdana" w:hAnsi="Verdana" w:cs="Arial"/>
          <w:sz w:val="20"/>
          <w:szCs w:val="20"/>
        </w:rPr>
      </w:pPr>
    </w:p>
    <w:p w14:paraId="066E4719" w14:textId="77777777" w:rsidR="00EE778A" w:rsidRPr="001762CC" w:rsidRDefault="00EE778A" w:rsidP="00EE778A">
      <w:pPr>
        <w:rPr>
          <w:rFonts w:ascii="Verdana" w:hAnsi="Verdana" w:cs="Arial"/>
          <w:sz w:val="20"/>
          <w:szCs w:val="20"/>
        </w:rPr>
      </w:pPr>
    </w:p>
    <w:p w14:paraId="4FAA365D" w14:textId="77777777" w:rsidR="00EE778A" w:rsidRPr="001762CC" w:rsidRDefault="00EE778A" w:rsidP="00EE778A">
      <w:pPr>
        <w:rPr>
          <w:rFonts w:ascii="Verdana" w:hAnsi="Verdana" w:cs="Arial"/>
          <w:sz w:val="20"/>
          <w:szCs w:val="20"/>
        </w:rPr>
      </w:pPr>
      <w:r w:rsidRPr="001762CC">
        <w:rPr>
          <w:rFonts w:ascii="Verdana" w:hAnsi="Verdana" w:cs="Arial"/>
          <w:sz w:val="20"/>
          <w:szCs w:val="20"/>
        </w:rPr>
        <w:t>………………………….</w:t>
      </w:r>
      <w:r w:rsidRPr="001762CC">
        <w:rPr>
          <w:rFonts w:ascii="Verdana" w:hAnsi="Verdana" w:cs="Arial"/>
          <w:sz w:val="20"/>
          <w:szCs w:val="20"/>
        </w:rPr>
        <w:tab/>
      </w:r>
      <w:r w:rsidRPr="001762CC">
        <w:rPr>
          <w:rFonts w:ascii="Verdana" w:hAnsi="Verdana" w:cs="Arial"/>
          <w:sz w:val="20"/>
          <w:szCs w:val="20"/>
        </w:rPr>
        <w:tab/>
        <w:t>Date:……………………………….</w:t>
      </w:r>
    </w:p>
    <w:p w14:paraId="4FF47509" w14:textId="77777777" w:rsidR="00EE778A" w:rsidRPr="001762CC" w:rsidRDefault="00EE778A" w:rsidP="00EE778A">
      <w:pPr>
        <w:rPr>
          <w:rFonts w:ascii="Verdana" w:hAnsi="Verdana" w:cs="Arial"/>
          <w:sz w:val="20"/>
          <w:szCs w:val="20"/>
        </w:rPr>
      </w:pPr>
      <w:r w:rsidRPr="001762CC">
        <w:rPr>
          <w:rFonts w:ascii="Verdana" w:hAnsi="Verdana" w:cs="Arial"/>
          <w:sz w:val="20"/>
          <w:szCs w:val="20"/>
        </w:rPr>
        <w:t>Woodstar Group Ltd</w:t>
      </w:r>
    </w:p>
    <w:p w14:paraId="703ABFA5" w14:textId="77777777" w:rsidR="00EE778A" w:rsidRDefault="00EE778A" w:rsidP="00EE778A">
      <w:pPr>
        <w:rPr>
          <w:rFonts w:ascii="Verdana" w:hAnsi="Verdana" w:cs="Arial"/>
          <w:sz w:val="20"/>
          <w:szCs w:val="20"/>
        </w:rPr>
      </w:pPr>
    </w:p>
    <w:p w14:paraId="18D713EE" w14:textId="77777777" w:rsidR="00EE778A" w:rsidRPr="001762CC" w:rsidRDefault="00EE778A" w:rsidP="00EE778A">
      <w:pPr>
        <w:rPr>
          <w:rFonts w:ascii="Verdana" w:hAnsi="Verdana" w:cs="Arial"/>
          <w:sz w:val="20"/>
          <w:szCs w:val="20"/>
        </w:rPr>
      </w:pPr>
    </w:p>
    <w:p w14:paraId="0E245606" w14:textId="77777777" w:rsidR="00EE778A" w:rsidRPr="001762CC" w:rsidRDefault="00EE778A" w:rsidP="00EE778A">
      <w:pPr>
        <w:rPr>
          <w:rFonts w:ascii="Verdana" w:hAnsi="Verdana" w:cs="Arial"/>
          <w:sz w:val="20"/>
          <w:szCs w:val="20"/>
        </w:rPr>
      </w:pPr>
    </w:p>
    <w:p w14:paraId="2304DF60" w14:textId="77777777" w:rsidR="00EE778A" w:rsidRPr="001762CC" w:rsidRDefault="00EE778A" w:rsidP="00EE778A">
      <w:pPr>
        <w:rPr>
          <w:rFonts w:ascii="Verdana" w:hAnsi="Verdana" w:cs="Arial"/>
          <w:sz w:val="20"/>
          <w:szCs w:val="20"/>
        </w:rPr>
      </w:pPr>
    </w:p>
    <w:p w14:paraId="0CFA2C63" w14:textId="77777777" w:rsidR="00EE778A" w:rsidRPr="001762CC" w:rsidRDefault="00EE778A" w:rsidP="00EE778A">
      <w:pPr>
        <w:rPr>
          <w:rFonts w:ascii="Verdana" w:hAnsi="Verdana" w:cs="Arial"/>
          <w:sz w:val="20"/>
          <w:szCs w:val="20"/>
        </w:rPr>
      </w:pPr>
      <w:r w:rsidRPr="001762CC">
        <w:rPr>
          <w:rFonts w:ascii="Verdana" w:hAnsi="Verdana" w:cs="Arial"/>
          <w:sz w:val="20"/>
          <w:szCs w:val="20"/>
        </w:rPr>
        <w:t>………………………….</w:t>
      </w:r>
      <w:r w:rsidRPr="001762CC">
        <w:rPr>
          <w:rFonts w:ascii="Verdana" w:hAnsi="Verdana" w:cs="Arial"/>
          <w:sz w:val="20"/>
          <w:szCs w:val="20"/>
        </w:rPr>
        <w:tab/>
      </w:r>
      <w:r w:rsidRPr="001762CC">
        <w:rPr>
          <w:rFonts w:ascii="Verdana" w:hAnsi="Verdana" w:cs="Arial"/>
          <w:sz w:val="20"/>
          <w:szCs w:val="20"/>
        </w:rPr>
        <w:tab/>
        <w:t>Date:……………………………….</w:t>
      </w:r>
    </w:p>
    <w:p w14:paraId="74858284" w14:textId="77777777" w:rsidR="00EE778A" w:rsidRPr="001762CC" w:rsidRDefault="00EE778A" w:rsidP="00EE778A">
      <w:pPr>
        <w:rPr>
          <w:rFonts w:ascii="Verdana" w:hAnsi="Verdana" w:cs="Arial"/>
          <w:sz w:val="20"/>
          <w:szCs w:val="20"/>
        </w:rPr>
      </w:pPr>
      <w:r w:rsidRPr="00CD3C60">
        <w:rPr>
          <w:rFonts w:ascii="Verdana" w:hAnsi="Verdana" w:cs="Arial"/>
          <w:sz w:val="20"/>
          <w:szCs w:val="20"/>
        </w:rPr>
        <w:t>WSG 10 LLP</w:t>
      </w:r>
    </w:p>
    <w:p w14:paraId="40ECF6C4" w14:textId="77777777" w:rsidR="00EE778A" w:rsidRPr="001762CC" w:rsidRDefault="00EE778A" w:rsidP="00EE778A">
      <w:pPr>
        <w:rPr>
          <w:rFonts w:ascii="Verdana" w:hAnsi="Verdana" w:cs="Arial"/>
          <w:sz w:val="20"/>
          <w:szCs w:val="20"/>
        </w:rPr>
      </w:pPr>
    </w:p>
    <w:p w14:paraId="5DC39DEF" w14:textId="77777777" w:rsidR="00EE778A" w:rsidRDefault="00EE778A" w:rsidP="00EE778A">
      <w:pPr>
        <w:rPr>
          <w:rFonts w:ascii="Verdana" w:hAnsi="Verdana" w:cs="Arial"/>
          <w:sz w:val="20"/>
          <w:szCs w:val="20"/>
        </w:rPr>
      </w:pPr>
    </w:p>
    <w:p w14:paraId="348EC6C5" w14:textId="77777777" w:rsidR="00EE778A" w:rsidRDefault="00EE778A" w:rsidP="00EE778A">
      <w:pPr>
        <w:rPr>
          <w:rFonts w:ascii="Verdana" w:hAnsi="Verdana" w:cs="Arial"/>
          <w:sz w:val="20"/>
          <w:szCs w:val="20"/>
        </w:rPr>
      </w:pPr>
    </w:p>
    <w:p w14:paraId="646C5173" w14:textId="1B42E3D7" w:rsidR="00EE778A" w:rsidRDefault="000305E8" w:rsidP="00EE778A">
      <w:pPr>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F92465">
        <w:rPr>
          <w:rFonts w:ascii="Verdana" w:hAnsi="Verdana" w:cs="Arial"/>
          <w:sz w:val="20"/>
          <w:szCs w:val="20"/>
        </w:rPr>
        <w:tab/>
        <w:t xml:space="preserve"> </w:t>
      </w:r>
      <w:r>
        <w:rPr>
          <w:rFonts w:ascii="Verdana" w:hAnsi="Verdana" w:cs="Arial"/>
          <w:sz w:val="20"/>
          <w:szCs w:val="20"/>
        </w:rPr>
        <w:t>March 2023</w:t>
      </w:r>
    </w:p>
    <w:p w14:paraId="2A7D9979" w14:textId="77777777" w:rsidR="00EE778A" w:rsidRPr="001762CC" w:rsidRDefault="00EE778A" w:rsidP="00EE778A">
      <w:pPr>
        <w:rPr>
          <w:rFonts w:ascii="Verdana" w:hAnsi="Verdana" w:cs="Arial"/>
          <w:sz w:val="20"/>
          <w:szCs w:val="20"/>
        </w:rPr>
      </w:pPr>
      <w:r w:rsidRPr="001762CC">
        <w:rPr>
          <w:rFonts w:ascii="Verdana" w:hAnsi="Verdana" w:cs="Arial"/>
          <w:sz w:val="20"/>
          <w:szCs w:val="20"/>
        </w:rPr>
        <w:t>………………………….</w:t>
      </w:r>
      <w:r w:rsidRPr="001762CC">
        <w:rPr>
          <w:rFonts w:ascii="Verdana" w:hAnsi="Verdana" w:cs="Arial"/>
          <w:sz w:val="20"/>
          <w:szCs w:val="20"/>
        </w:rPr>
        <w:tab/>
      </w:r>
      <w:r w:rsidRPr="001762CC">
        <w:rPr>
          <w:rFonts w:ascii="Verdana" w:hAnsi="Verdana" w:cs="Arial"/>
          <w:sz w:val="20"/>
          <w:szCs w:val="20"/>
        </w:rPr>
        <w:tab/>
        <w:t>Date:……………………………….</w:t>
      </w:r>
    </w:p>
    <w:p w14:paraId="2F7571A1" w14:textId="77777777" w:rsidR="00EE778A" w:rsidRDefault="00EE778A" w:rsidP="00EE778A">
      <w:pPr>
        <w:rPr>
          <w:rFonts w:ascii="Verdana" w:hAnsi="Verdana" w:cs="Arial"/>
          <w:sz w:val="20"/>
          <w:szCs w:val="20"/>
        </w:rPr>
      </w:pPr>
      <w:r w:rsidRPr="00CD3C60">
        <w:rPr>
          <w:rFonts w:ascii="Verdana" w:hAnsi="Verdana" w:cs="Arial"/>
          <w:sz w:val="20"/>
          <w:szCs w:val="20"/>
        </w:rPr>
        <w:t>Peaslake Investments 1 plc</w:t>
      </w:r>
    </w:p>
    <w:p w14:paraId="4794E995" w14:textId="77777777" w:rsidR="00EE778A" w:rsidRDefault="00EE778A" w:rsidP="00EE778A">
      <w:pPr>
        <w:rPr>
          <w:rFonts w:ascii="Verdana" w:hAnsi="Verdana" w:cs="Arial"/>
          <w:sz w:val="20"/>
          <w:szCs w:val="20"/>
        </w:rPr>
      </w:pPr>
    </w:p>
    <w:p w14:paraId="36D1C688" w14:textId="77777777" w:rsidR="00EE778A" w:rsidRPr="001762CC" w:rsidRDefault="00EE778A" w:rsidP="00EE778A">
      <w:pPr>
        <w:rPr>
          <w:rFonts w:ascii="Verdana" w:hAnsi="Verdana" w:cs="Arial"/>
          <w:b/>
          <w:i/>
          <w:sz w:val="20"/>
          <w:szCs w:val="20"/>
        </w:rPr>
      </w:pPr>
    </w:p>
    <w:p w14:paraId="58A2BF5E" w14:textId="7C2262EF" w:rsidR="008C0737" w:rsidRPr="001762CC" w:rsidRDefault="008C0737" w:rsidP="00035541">
      <w:pPr>
        <w:rPr>
          <w:rFonts w:ascii="Verdana" w:hAnsi="Verdana" w:cs="Arial"/>
          <w:b/>
          <w:i/>
          <w:sz w:val="20"/>
          <w:szCs w:val="20"/>
        </w:rPr>
      </w:pPr>
    </w:p>
    <w:sectPr w:rsidR="008C0737" w:rsidRPr="001762CC" w:rsidSect="001870D8">
      <w:headerReference w:type="even" r:id="rId8"/>
      <w:headerReference w:type="default" r:id="rId9"/>
      <w:footerReference w:type="even" r:id="rId10"/>
      <w:footerReference w:type="default" r:id="rId11"/>
      <w:headerReference w:type="first" r:id="rId12"/>
      <w:footerReference w:type="first" r:id="rId13"/>
      <w:pgSz w:w="11906" w:h="16838"/>
      <w:pgMar w:top="737" w:right="964" w:bottom="737" w:left="964" w:header="709" w:footer="204"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130C" w14:textId="77777777" w:rsidR="00621420" w:rsidRDefault="00621420" w:rsidP="000815EB">
      <w:r>
        <w:separator/>
      </w:r>
    </w:p>
  </w:endnote>
  <w:endnote w:type="continuationSeparator" w:id="0">
    <w:p w14:paraId="1BF4E626" w14:textId="77777777" w:rsidR="00621420" w:rsidRDefault="00621420" w:rsidP="0008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20207" w:usb1="000200A8" w:usb2="00A816CF" w:usb3="00000001" w:csb0="00A80085" w:csb1="179F138A"/>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C057" w14:textId="77777777" w:rsidR="00E6231B" w:rsidRDefault="00E62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7712" w14:textId="052D2BDE" w:rsidR="00372E83" w:rsidRPr="00712E75" w:rsidRDefault="00372E83" w:rsidP="00EE1F8F">
    <w:pPr>
      <w:pStyle w:val="Footer"/>
      <w:tabs>
        <w:tab w:val="left" w:pos="4980"/>
      </w:tabs>
      <w:jc w:val="right"/>
      <w:rPr>
        <w:rFonts w:ascii="Arial" w:hAnsi="Arial" w:cs="Arial"/>
        <w:sz w:val="16"/>
        <w:szCs w:val="16"/>
      </w:rPr>
    </w:pPr>
    <w:r>
      <w:rPr>
        <w:sz w:val="18"/>
        <w:szCs w:val="18"/>
      </w:rPr>
      <w:tab/>
    </w:r>
    <w:r>
      <w:rPr>
        <w:sz w:val="18"/>
        <w:szCs w:val="18"/>
      </w:rPr>
      <w:tab/>
    </w:r>
    <w:r w:rsidR="000B7A41" w:rsidRPr="000B7A41">
      <w:rPr>
        <w:sz w:val="18"/>
        <w:szCs w:val="18"/>
      </w:rPr>
      <w:t>1001136</w:t>
    </w:r>
  </w:p>
  <w:p w14:paraId="239CF6F6" w14:textId="77777777" w:rsidR="00372E83" w:rsidRDefault="00372E83" w:rsidP="000815EB">
    <w:pPr>
      <w:pStyle w:val="Footer"/>
      <w:jc w:val="center"/>
      <w:rPr>
        <w:sz w:val="18"/>
        <w:szCs w:val="18"/>
      </w:rPr>
    </w:pPr>
  </w:p>
  <w:p w14:paraId="57BAF3F0" w14:textId="77777777" w:rsidR="00372E83" w:rsidRDefault="00372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8B76" w14:textId="77777777" w:rsidR="00E6231B" w:rsidRDefault="00E62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E4F9" w14:textId="77777777" w:rsidR="00621420" w:rsidRDefault="00621420" w:rsidP="000815EB">
      <w:r>
        <w:separator/>
      </w:r>
    </w:p>
  </w:footnote>
  <w:footnote w:type="continuationSeparator" w:id="0">
    <w:p w14:paraId="53554FB7" w14:textId="77777777" w:rsidR="00621420" w:rsidRDefault="00621420" w:rsidP="00081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C898" w14:textId="77777777" w:rsidR="00E6231B" w:rsidRDefault="00E62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281E" w14:textId="77777777" w:rsidR="00E6231B" w:rsidRDefault="00E62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E934" w14:textId="77777777" w:rsidR="00E6231B" w:rsidRDefault="00E62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1E4"/>
    <w:multiLevelType w:val="multilevel"/>
    <w:tmpl w:val="29FE45B0"/>
    <w:lvl w:ilvl="0">
      <w:start w:val="1"/>
      <w:numFmt w:val="decimal"/>
      <w:pStyle w:val="MH-1"/>
      <w:lvlText w:val="%1."/>
      <w:lvlJc w:val="left"/>
      <w:pPr>
        <w:tabs>
          <w:tab w:val="num" w:pos="720"/>
        </w:tabs>
        <w:ind w:left="720" w:hanging="720"/>
      </w:pPr>
      <w:rPr>
        <w:rFonts w:hint="default"/>
        <w:b w:val="0"/>
      </w:rPr>
    </w:lvl>
    <w:lvl w:ilvl="1">
      <w:start w:val="1"/>
      <w:numFmt w:val="lowerLetter"/>
      <w:pStyle w:val="MH-2"/>
      <w:lvlText w:val="(%2)"/>
      <w:lvlJc w:val="left"/>
      <w:pPr>
        <w:tabs>
          <w:tab w:val="num" w:pos="1429"/>
        </w:tabs>
        <w:ind w:left="1429" w:hanging="720"/>
      </w:pPr>
      <w:rPr>
        <w:rFonts w:hint="default"/>
        <w:b w:val="0"/>
      </w:rPr>
    </w:lvl>
    <w:lvl w:ilvl="2">
      <w:start w:val="1"/>
      <w:numFmt w:val="lowerRoman"/>
      <w:pStyle w:val="MH-3"/>
      <w:lvlText w:val="(%3)"/>
      <w:lvlJc w:val="left"/>
      <w:pPr>
        <w:tabs>
          <w:tab w:val="num" w:pos="2160"/>
        </w:tabs>
        <w:ind w:left="2160" w:hanging="720"/>
      </w:pPr>
      <w:rPr>
        <w:rFonts w:hint="default"/>
      </w:rPr>
    </w:lvl>
    <w:lvl w:ilvl="3">
      <w:start w:val="1"/>
      <w:numFmt w:val="decimal"/>
      <w:pStyle w:val="MH-4"/>
      <w:lvlText w:val="(%4)"/>
      <w:lvlJc w:val="left"/>
      <w:pPr>
        <w:tabs>
          <w:tab w:val="num" w:pos="2880"/>
        </w:tabs>
        <w:ind w:left="2880" w:hanging="720"/>
      </w:pPr>
      <w:rPr>
        <w:rFonts w:hint="default"/>
      </w:rPr>
    </w:lvl>
    <w:lvl w:ilvl="4">
      <w:start w:val="1"/>
      <w:numFmt w:val="upperLetter"/>
      <w:pStyle w:val="MH-5"/>
      <w:lvlText w:val="(%5)"/>
      <w:lvlJc w:val="left"/>
      <w:pPr>
        <w:tabs>
          <w:tab w:val="num" w:pos="3600"/>
        </w:tabs>
        <w:ind w:left="3600" w:hanging="720"/>
      </w:pPr>
      <w:rPr>
        <w:rFonts w:hint="default"/>
      </w:rPr>
    </w:lvl>
    <w:lvl w:ilvl="5">
      <w:start w:val="1"/>
      <w:numFmt w:val="upperRoman"/>
      <w:pStyle w:val="MH-6"/>
      <w:lvlText w:val="(%6)"/>
      <w:lvlJc w:val="left"/>
      <w:pPr>
        <w:tabs>
          <w:tab w:val="num" w:pos="4320"/>
        </w:tabs>
        <w:ind w:left="4320" w:hanging="720"/>
      </w:pPr>
      <w:rPr>
        <w:rFonts w:hint="default"/>
      </w:rPr>
    </w:lvl>
    <w:lvl w:ilvl="6">
      <w:start w:val="1"/>
      <w:numFmt w:val="none"/>
      <w:pStyle w:val="MH-7"/>
      <w:lvlText w:val=""/>
      <w:lvlJc w:val="left"/>
      <w:pPr>
        <w:tabs>
          <w:tab w:val="num" w:pos="4320"/>
        </w:tabs>
        <w:ind w:left="4320" w:firstLine="0"/>
      </w:pPr>
      <w:rPr>
        <w:rFonts w:hint="default"/>
      </w:rPr>
    </w:lvl>
    <w:lvl w:ilvl="7">
      <w:start w:val="1"/>
      <w:numFmt w:val="none"/>
      <w:pStyle w:val="MH-8"/>
      <w:lvlText w:val=""/>
      <w:lvlJc w:val="left"/>
      <w:pPr>
        <w:tabs>
          <w:tab w:val="num" w:pos="4320"/>
        </w:tabs>
        <w:ind w:left="5040" w:firstLine="0"/>
      </w:pPr>
      <w:rPr>
        <w:rFonts w:hint="default"/>
      </w:rPr>
    </w:lvl>
    <w:lvl w:ilvl="8">
      <w:start w:val="1"/>
      <w:numFmt w:val="none"/>
      <w:pStyle w:val="MH-9"/>
      <w:lvlText w:val=""/>
      <w:lvlJc w:val="left"/>
      <w:pPr>
        <w:tabs>
          <w:tab w:val="num" w:pos="5040"/>
        </w:tabs>
        <w:ind w:left="5760" w:firstLine="0"/>
      </w:pPr>
      <w:rPr>
        <w:rFonts w:hint="default"/>
      </w:rPr>
    </w:lvl>
  </w:abstractNum>
  <w:abstractNum w:abstractNumId="1" w15:restartNumberingAfterBreak="0">
    <w:nsid w:val="0E1D2097"/>
    <w:multiLevelType w:val="hybridMultilevel"/>
    <w:tmpl w:val="70E6AF18"/>
    <w:lvl w:ilvl="0" w:tplc="0D5E35D4">
      <w:start w:val="1"/>
      <w:numFmt w:val="decimal"/>
      <w:lvlText w:val="%1."/>
      <w:lvlJc w:val="left"/>
      <w:pPr>
        <w:tabs>
          <w:tab w:val="num" w:pos="1080"/>
        </w:tabs>
        <w:ind w:left="1080" w:hanging="7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1E646B8"/>
    <w:multiLevelType w:val="hybridMultilevel"/>
    <w:tmpl w:val="5FA2408C"/>
    <w:lvl w:ilvl="0" w:tplc="1090BA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440E9"/>
    <w:multiLevelType w:val="hybridMultilevel"/>
    <w:tmpl w:val="B6CC40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9105E"/>
    <w:multiLevelType w:val="hybridMultilevel"/>
    <w:tmpl w:val="F640BB70"/>
    <w:lvl w:ilvl="0" w:tplc="1090BA40">
      <w:start w:val="1"/>
      <w:numFmt w:val="decimal"/>
      <w:lvlText w:val="(%1)"/>
      <w:lvlJc w:val="left"/>
      <w:pPr>
        <w:ind w:left="1080" w:hanging="360"/>
      </w:pPr>
      <w:rPr>
        <w:rFonts w:hint="default"/>
      </w:rPr>
    </w:lvl>
    <w:lvl w:ilvl="1" w:tplc="AD52A014">
      <w:start w:val="1"/>
      <w:numFmt w:val="lowerLetter"/>
      <w:lvlText w:val="%2."/>
      <w:lvlJc w:val="left"/>
      <w:pPr>
        <w:ind w:left="1800" w:hanging="360"/>
      </w:pPr>
    </w:lvl>
    <w:lvl w:ilvl="2" w:tplc="8B4ECF50">
      <w:start w:val="1"/>
      <w:numFmt w:val="lowerRoman"/>
      <w:lvlText w:val="%3."/>
      <w:lvlJc w:val="right"/>
      <w:pPr>
        <w:ind w:left="2520" w:hanging="180"/>
      </w:pPr>
    </w:lvl>
    <w:lvl w:ilvl="3" w:tplc="A62C8DF6" w:tentative="1">
      <w:start w:val="1"/>
      <w:numFmt w:val="decimal"/>
      <w:lvlText w:val="%4."/>
      <w:lvlJc w:val="left"/>
      <w:pPr>
        <w:ind w:left="3240" w:hanging="360"/>
      </w:pPr>
    </w:lvl>
    <w:lvl w:ilvl="4" w:tplc="7A3A9734" w:tentative="1">
      <w:start w:val="1"/>
      <w:numFmt w:val="lowerLetter"/>
      <w:lvlText w:val="%5."/>
      <w:lvlJc w:val="left"/>
      <w:pPr>
        <w:ind w:left="3960" w:hanging="360"/>
      </w:pPr>
    </w:lvl>
    <w:lvl w:ilvl="5" w:tplc="13120C92" w:tentative="1">
      <w:start w:val="1"/>
      <w:numFmt w:val="lowerRoman"/>
      <w:lvlText w:val="%6."/>
      <w:lvlJc w:val="right"/>
      <w:pPr>
        <w:ind w:left="4680" w:hanging="180"/>
      </w:pPr>
    </w:lvl>
    <w:lvl w:ilvl="6" w:tplc="7AD47F2A" w:tentative="1">
      <w:start w:val="1"/>
      <w:numFmt w:val="decimal"/>
      <w:lvlText w:val="%7."/>
      <w:lvlJc w:val="left"/>
      <w:pPr>
        <w:ind w:left="5400" w:hanging="360"/>
      </w:pPr>
    </w:lvl>
    <w:lvl w:ilvl="7" w:tplc="EFBC90C8" w:tentative="1">
      <w:start w:val="1"/>
      <w:numFmt w:val="lowerLetter"/>
      <w:lvlText w:val="%8."/>
      <w:lvlJc w:val="left"/>
      <w:pPr>
        <w:ind w:left="6120" w:hanging="360"/>
      </w:pPr>
    </w:lvl>
    <w:lvl w:ilvl="8" w:tplc="BA8AC6DC" w:tentative="1">
      <w:start w:val="1"/>
      <w:numFmt w:val="lowerRoman"/>
      <w:lvlText w:val="%9."/>
      <w:lvlJc w:val="right"/>
      <w:pPr>
        <w:ind w:left="6840" w:hanging="180"/>
      </w:pPr>
    </w:lvl>
  </w:abstractNum>
  <w:abstractNum w:abstractNumId="5" w15:restartNumberingAfterBreak="0">
    <w:nsid w:val="29DE71BC"/>
    <w:multiLevelType w:val="hybridMultilevel"/>
    <w:tmpl w:val="387C79B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29E165EB"/>
    <w:multiLevelType w:val="multilevel"/>
    <w:tmpl w:val="1FDEF3A4"/>
    <w:lvl w:ilvl="0">
      <w:start w:val="1"/>
      <w:numFmt w:val="decimal"/>
      <w:pStyle w:val="AgreementHeading1"/>
      <w:lvlText w:val="%1."/>
      <w:lvlJc w:val="left"/>
      <w:pPr>
        <w:tabs>
          <w:tab w:val="num" w:pos="720"/>
        </w:tabs>
        <w:ind w:left="0" w:firstLine="0"/>
      </w:pPr>
      <w:rPr>
        <w:rFonts w:ascii="Times New Roman" w:hAnsi="Times New Roman" w:hint="default"/>
        <w:b w:val="0"/>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Heading2"/>
      <w:lvlText w:val="%1.%2"/>
      <w:lvlJc w:val="left"/>
      <w:pPr>
        <w:tabs>
          <w:tab w:val="num" w:pos="830"/>
        </w:tabs>
        <w:ind w:left="830" w:hanging="720"/>
      </w:pPr>
      <w:rPr>
        <w:rFonts w:ascii="Times New Roman" w:hAnsi="Times New Roman" w:hint="default"/>
        <w:b w:val="0"/>
        <w:i w:val="0"/>
        <w:sz w:val="22"/>
        <w:szCs w:val="22"/>
      </w:rPr>
    </w:lvl>
    <w:lvl w:ilvl="2">
      <w:start w:val="1"/>
      <w:numFmt w:val="decimal"/>
      <w:pStyle w:val="AgreementHeading3"/>
      <w:lvlText w:val="%1.%2.%3"/>
      <w:lvlJc w:val="left"/>
      <w:pPr>
        <w:tabs>
          <w:tab w:val="num" w:pos="1464"/>
        </w:tabs>
        <w:ind w:left="1464" w:hanging="754"/>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Heading4"/>
      <w:lvlText w:val="(%4)"/>
      <w:lvlJc w:val="left"/>
      <w:pPr>
        <w:tabs>
          <w:tab w:val="num" w:pos="2041"/>
        </w:tabs>
        <w:ind w:left="2041" w:hanging="567"/>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greementHeading5"/>
      <w:lvlText w:val="(%5)"/>
      <w:lvlJc w:val="left"/>
      <w:pPr>
        <w:tabs>
          <w:tab w:val="num" w:pos="2608"/>
        </w:tabs>
        <w:ind w:left="2608" w:hanging="567"/>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7" w15:restartNumberingAfterBreak="0">
    <w:nsid w:val="3509688F"/>
    <w:multiLevelType w:val="hybridMultilevel"/>
    <w:tmpl w:val="17BCF3C4"/>
    <w:lvl w:ilvl="0" w:tplc="08090017">
      <w:start w:val="1"/>
      <w:numFmt w:val="lowerLetter"/>
      <w:lvlText w:val="%1)"/>
      <w:lvlJc w:val="left"/>
      <w:pPr>
        <w:ind w:left="2220" w:hanging="360"/>
      </w:p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8" w15:restartNumberingAfterBreak="0">
    <w:nsid w:val="75411C53"/>
    <w:multiLevelType w:val="hybridMultilevel"/>
    <w:tmpl w:val="7D520F3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7B2E7109"/>
    <w:multiLevelType w:val="hybridMultilevel"/>
    <w:tmpl w:val="6802955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8715479">
    <w:abstractNumId w:val="6"/>
  </w:num>
  <w:num w:numId="2" w16cid:durableId="2066710440">
    <w:abstractNumId w:val="1"/>
  </w:num>
  <w:num w:numId="3" w16cid:durableId="132599259">
    <w:abstractNumId w:val="5"/>
  </w:num>
  <w:num w:numId="4" w16cid:durableId="2101563054">
    <w:abstractNumId w:val="0"/>
  </w:num>
  <w:num w:numId="5" w16cid:durableId="2009869640">
    <w:abstractNumId w:val="4"/>
  </w:num>
  <w:num w:numId="6" w16cid:durableId="6218875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8407792">
    <w:abstractNumId w:val="2"/>
  </w:num>
  <w:num w:numId="8" w16cid:durableId="811796493">
    <w:abstractNumId w:val="7"/>
  </w:num>
  <w:num w:numId="9" w16cid:durableId="399521113">
    <w:abstractNumId w:val="3"/>
  </w:num>
  <w:num w:numId="10" w16cid:durableId="605845587">
    <w:abstractNumId w:val="0"/>
    <w:lvlOverride w:ilvl="0">
      <w:startOverride w:val="1"/>
    </w:lvlOverride>
    <w:lvlOverride w:ilvl="1">
      <w:startOverride w:val="1"/>
    </w:lvlOverride>
  </w:num>
  <w:num w:numId="11" w16cid:durableId="1142116686">
    <w:abstractNumId w:val="8"/>
  </w:num>
  <w:num w:numId="12" w16cid:durableId="14998090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43"/>
    <w:rsid w:val="00015040"/>
    <w:rsid w:val="000305E8"/>
    <w:rsid w:val="00035541"/>
    <w:rsid w:val="00036130"/>
    <w:rsid w:val="00036E5B"/>
    <w:rsid w:val="0006061D"/>
    <w:rsid w:val="00076A9D"/>
    <w:rsid w:val="000804FA"/>
    <w:rsid w:val="000815EB"/>
    <w:rsid w:val="000B2C33"/>
    <w:rsid w:val="000B7A41"/>
    <w:rsid w:val="000C2146"/>
    <w:rsid w:val="00115E78"/>
    <w:rsid w:val="00117850"/>
    <w:rsid w:val="00151ECA"/>
    <w:rsid w:val="00152BEC"/>
    <w:rsid w:val="0015367B"/>
    <w:rsid w:val="001762CC"/>
    <w:rsid w:val="001870D8"/>
    <w:rsid w:val="001A6F10"/>
    <w:rsid w:val="001E6480"/>
    <w:rsid w:val="00204DC6"/>
    <w:rsid w:val="0025529C"/>
    <w:rsid w:val="00257FE1"/>
    <w:rsid w:val="0027190D"/>
    <w:rsid w:val="00274EEE"/>
    <w:rsid w:val="00282B96"/>
    <w:rsid w:val="00290F3B"/>
    <w:rsid w:val="002A544D"/>
    <w:rsid w:val="002B518B"/>
    <w:rsid w:val="002B6675"/>
    <w:rsid w:val="002C2E1A"/>
    <w:rsid w:val="002D2EF6"/>
    <w:rsid w:val="002D3FC6"/>
    <w:rsid w:val="002F5FE5"/>
    <w:rsid w:val="00304B10"/>
    <w:rsid w:val="00333FBE"/>
    <w:rsid w:val="003410A0"/>
    <w:rsid w:val="00372E83"/>
    <w:rsid w:val="0037522C"/>
    <w:rsid w:val="00375D7F"/>
    <w:rsid w:val="0039744C"/>
    <w:rsid w:val="003F7D2C"/>
    <w:rsid w:val="00401DDF"/>
    <w:rsid w:val="00405A1F"/>
    <w:rsid w:val="004112EB"/>
    <w:rsid w:val="00413DB1"/>
    <w:rsid w:val="0047098F"/>
    <w:rsid w:val="00492065"/>
    <w:rsid w:val="004A53D4"/>
    <w:rsid w:val="004A64E8"/>
    <w:rsid w:val="004C0422"/>
    <w:rsid w:val="00511397"/>
    <w:rsid w:val="00532E7C"/>
    <w:rsid w:val="005330D2"/>
    <w:rsid w:val="00546687"/>
    <w:rsid w:val="005661EF"/>
    <w:rsid w:val="00583FCF"/>
    <w:rsid w:val="005923F6"/>
    <w:rsid w:val="005E351E"/>
    <w:rsid w:val="005F7256"/>
    <w:rsid w:val="00603615"/>
    <w:rsid w:val="006123D9"/>
    <w:rsid w:val="00621420"/>
    <w:rsid w:val="0063635C"/>
    <w:rsid w:val="0066462D"/>
    <w:rsid w:val="00674E0D"/>
    <w:rsid w:val="0068085A"/>
    <w:rsid w:val="006833CC"/>
    <w:rsid w:val="006B2B28"/>
    <w:rsid w:val="006C3303"/>
    <w:rsid w:val="006C3900"/>
    <w:rsid w:val="006F6E96"/>
    <w:rsid w:val="007039EE"/>
    <w:rsid w:val="00712E75"/>
    <w:rsid w:val="00716A1E"/>
    <w:rsid w:val="00724794"/>
    <w:rsid w:val="00750266"/>
    <w:rsid w:val="00762F4D"/>
    <w:rsid w:val="00774E01"/>
    <w:rsid w:val="007764CB"/>
    <w:rsid w:val="007834C4"/>
    <w:rsid w:val="00785579"/>
    <w:rsid w:val="007C6610"/>
    <w:rsid w:val="007D42DC"/>
    <w:rsid w:val="007E4F99"/>
    <w:rsid w:val="007F48A0"/>
    <w:rsid w:val="00826077"/>
    <w:rsid w:val="00826A0F"/>
    <w:rsid w:val="00834A6A"/>
    <w:rsid w:val="00851A07"/>
    <w:rsid w:val="0086792B"/>
    <w:rsid w:val="00886F11"/>
    <w:rsid w:val="00890FCF"/>
    <w:rsid w:val="008A1B02"/>
    <w:rsid w:val="008A4E04"/>
    <w:rsid w:val="008C0737"/>
    <w:rsid w:val="008D4456"/>
    <w:rsid w:val="008F6625"/>
    <w:rsid w:val="00945FF2"/>
    <w:rsid w:val="00947AA1"/>
    <w:rsid w:val="009717FD"/>
    <w:rsid w:val="00985B49"/>
    <w:rsid w:val="009D76A8"/>
    <w:rsid w:val="009E19E6"/>
    <w:rsid w:val="009E3D7A"/>
    <w:rsid w:val="00A0637B"/>
    <w:rsid w:val="00A240EF"/>
    <w:rsid w:val="00A24E2A"/>
    <w:rsid w:val="00A35D19"/>
    <w:rsid w:val="00A5239C"/>
    <w:rsid w:val="00A556A7"/>
    <w:rsid w:val="00A61DB9"/>
    <w:rsid w:val="00A71726"/>
    <w:rsid w:val="00A926A1"/>
    <w:rsid w:val="00AA41E9"/>
    <w:rsid w:val="00AD1A2D"/>
    <w:rsid w:val="00AE7405"/>
    <w:rsid w:val="00B155F4"/>
    <w:rsid w:val="00B4131E"/>
    <w:rsid w:val="00B44806"/>
    <w:rsid w:val="00B474CA"/>
    <w:rsid w:val="00B50C6A"/>
    <w:rsid w:val="00B763D7"/>
    <w:rsid w:val="00B77A10"/>
    <w:rsid w:val="00B80822"/>
    <w:rsid w:val="00B87CEA"/>
    <w:rsid w:val="00BB0C7C"/>
    <w:rsid w:val="00BC15C6"/>
    <w:rsid w:val="00BC74F2"/>
    <w:rsid w:val="00BE3C0A"/>
    <w:rsid w:val="00BF152E"/>
    <w:rsid w:val="00C22007"/>
    <w:rsid w:val="00C26D05"/>
    <w:rsid w:val="00C51CAC"/>
    <w:rsid w:val="00C52870"/>
    <w:rsid w:val="00C937F6"/>
    <w:rsid w:val="00C96F96"/>
    <w:rsid w:val="00CB398B"/>
    <w:rsid w:val="00CB7BD1"/>
    <w:rsid w:val="00CD3C60"/>
    <w:rsid w:val="00CE2432"/>
    <w:rsid w:val="00CF128C"/>
    <w:rsid w:val="00D027E7"/>
    <w:rsid w:val="00D039AA"/>
    <w:rsid w:val="00D2500F"/>
    <w:rsid w:val="00D614F4"/>
    <w:rsid w:val="00D62E14"/>
    <w:rsid w:val="00DA5EC5"/>
    <w:rsid w:val="00DB0CD2"/>
    <w:rsid w:val="00DD0896"/>
    <w:rsid w:val="00DD1D74"/>
    <w:rsid w:val="00DE0AD7"/>
    <w:rsid w:val="00DF2E87"/>
    <w:rsid w:val="00E047FF"/>
    <w:rsid w:val="00E16280"/>
    <w:rsid w:val="00E17FD9"/>
    <w:rsid w:val="00E26C56"/>
    <w:rsid w:val="00E50565"/>
    <w:rsid w:val="00E6231B"/>
    <w:rsid w:val="00E663DB"/>
    <w:rsid w:val="00E86E43"/>
    <w:rsid w:val="00E931DB"/>
    <w:rsid w:val="00EA670C"/>
    <w:rsid w:val="00EA7065"/>
    <w:rsid w:val="00EB2D91"/>
    <w:rsid w:val="00EB5F97"/>
    <w:rsid w:val="00EC664B"/>
    <w:rsid w:val="00ED2E82"/>
    <w:rsid w:val="00EE1F8F"/>
    <w:rsid w:val="00EE5EE4"/>
    <w:rsid w:val="00EE778A"/>
    <w:rsid w:val="00F3586E"/>
    <w:rsid w:val="00F43786"/>
    <w:rsid w:val="00F53CA1"/>
    <w:rsid w:val="00F92465"/>
    <w:rsid w:val="00FB2B7D"/>
    <w:rsid w:val="00FD210E"/>
    <w:rsid w:val="00FD2AD1"/>
    <w:rsid w:val="00FE4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3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422"/>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Heading1">
    <w:name w:val="Agreement Heading 1"/>
    <w:basedOn w:val="Normal"/>
    <w:next w:val="BlockText"/>
    <w:rsid w:val="00E86E43"/>
    <w:pPr>
      <w:keepNext/>
      <w:numPr>
        <w:numId w:val="1"/>
      </w:numPr>
      <w:spacing w:after="240" w:line="312" w:lineRule="auto"/>
    </w:pPr>
    <w:rPr>
      <w:rFonts w:eastAsia="Times New Roman" w:hAnsi="Times New Roman Bold"/>
      <w:b/>
      <w:caps/>
      <w:sz w:val="22"/>
    </w:rPr>
  </w:style>
  <w:style w:type="paragraph" w:customStyle="1" w:styleId="AgreementHeading2">
    <w:name w:val="Agreement Heading 2"/>
    <w:basedOn w:val="Normal"/>
    <w:rsid w:val="00E86E43"/>
    <w:pPr>
      <w:numPr>
        <w:ilvl w:val="1"/>
        <w:numId w:val="1"/>
      </w:numPr>
      <w:spacing w:after="240" w:line="312" w:lineRule="auto"/>
    </w:pPr>
    <w:rPr>
      <w:rFonts w:eastAsia="Times New Roman"/>
      <w:sz w:val="22"/>
    </w:rPr>
  </w:style>
  <w:style w:type="paragraph" w:customStyle="1" w:styleId="AgreementHeading3">
    <w:name w:val="Agreement Heading 3"/>
    <w:basedOn w:val="Normal"/>
    <w:rsid w:val="00E86E43"/>
    <w:pPr>
      <w:numPr>
        <w:ilvl w:val="2"/>
        <w:numId w:val="1"/>
      </w:numPr>
      <w:spacing w:after="240" w:line="312" w:lineRule="auto"/>
    </w:pPr>
    <w:rPr>
      <w:rFonts w:eastAsia="Times New Roman"/>
      <w:sz w:val="22"/>
    </w:rPr>
  </w:style>
  <w:style w:type="paragraph" w:customStyle="1" w:styleId="AgreementHeading4">
    <w:name w:val="Agreement Heading 4"/>
    <w:basedOn w:val="Normal"/>
    <w:rsid w:val="00E86E43"/>
    <w:pPr>
      <w:numPr>
        <w:ilvl w:val="3"/>
        <w:numId w:val="1"/>
      </w:numPr>
      <w:spacing w:after="240" w:line="312" w:lineRule="auto"/>
    </w:pPr>
    <w:rPr>
      <w:rFonts w:eastAsia="Times New Roman"/>
      <w:sz w:val="22"/>
    </w:rPr>
  </w:style>
  <w:style w:type="paragraph" w:customStyle="1" w:styleId="AgreementHeading5">
    <w:name w:val="Agreement Heading 5"/>
    <w:basedOn w:val="Normal"/>
    <w:rsid w:val="00E86E43"/>
    <w:pPr>
      <w:numPr>
        <w:ilvl w:val="4"/>
        <w:numId w:val="1"/>
      </w:numPr>
      <w:spacing w:after="240" w:line="312" w:lineRule="auto"/>
    </w:pPr>
    <w:rPr>
      <w:rFonts w:eastAsia="Times New Roman"/>
      <w:sz w:val="22"/>
    </w:rPr>
  </w:style>
  <w:style w:type="paragraph" w:styleId="BlockText">
    <w:name w:val="Block Text"/>
    <w:basedOn w:val="Normal"/>
    <w:uiPriority w:val="99"/>
    <w:semiHidden/>
    <w:unhideWhenUsed/>
    <w:rsid w:val="00E86E4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E86E43"/>
    <w:pPr>
      <w:spacing w:after="120"/>
    </w:pPr>
  </w:style>
  <w:style w:type="character" w:customStyle="1" w:styleId="BodyTextChar">
    <w:name w:val="Body Text Char"/>
    <w:basedOn w:val="DefaultParagraphFont"/>
    <w:link w:val="BodyText"/>
    <w:uiPriority w:val="99"/>
    <w:semiHidden/>
    <w:rsid w:val="00E86E43"/>
    <w:rPr>
      <w:rFonts w:ascii="Times New Roman" w:hAnsi="Times New Roman" w:cs="Times New Roman"/>
      <w:sz w:val="24"/>
    </w:rPr>
  </w:style>
  <w:style w:type="paragraph" w:styleId="Footer">
    <w:name w:val="footer"/>
    <w:basedOn w:val="Normal"/>
    <w:link w:val="FooterChar"/>
    <w:unhideWhenUsed/>
    <w:rsid w:val="00A71726"/>
    <w:pPr>
      <w:tabs>
        <w:tab w:val="center" w:pos="4513"/>
        <w:tab w:val="right" w:pos="9026"/>
      </w:tabs>
    </w:pPr>
  </w:style>
  <w:style w:type="character" w:customStyle="1" w:styleId="FooterChar">
    <w:name w:val="Footer Char"/>
    <w:basedOn w:val="DefaultParagraphFont"/>
    <w:link w:val="Footer"/>
    <w:rsid w:val="00A71726"/>
    <w:rPr>
      <w:rFonts w:ascii="Times New Roman" w:hAnsi="Times New Roman" w:cs="Times New Roman"/>
      <w:sz w:val="24"/>
    </w:rPr>
  </w:style>
  <w:style w:type="paragraph" w:styleId="Header">
    <w:name w:val="header"/>
    <w:basedOn w:val="Normal"/>
    <w:link w:val="HeaderChar"/>
    <w:uiPriority w:val="99"/>
    <w:unhideWhenUsed/>
    <w:rsid w:val="000815EB"/>
    <w:pPr>
      <w:tabs>
        <w:tab w:val="center" w:pos="4513"/>
        <w:tab w:val="right" w:pos="9026"/>
      </w:tabs>
    </w:pPr>
  </w:style>
  <w:style w:type="character" w:customStyle="1" w:styleId="HeaderChar">
    <w:name w:val="Header Char"/>
    <w:basedOn w:val="DefaultParagraphFont"/>
    <w:link w:val="Header"/>
    <w:uiPriority w:val="99"/>
    <w:rsid w:val="000815EB"/>
    <w:rPr>
      <w:rFonts w:ascii="Times New Roman" w:hAnsi="Times New Roman" w:cs="Times New Roman"/>
      <w:sz w:val="24"/>
    </w:rPr>
  </w:style>
  <w:style w:type="character" w:styleId="PageNumber">
    <w:name w:val="page number"/>
    <w:basedOn w:val="DefaultParagraphFont"/>
    <w:rsid w:val="000815EB"/>
  </w:style>
  <w:style w:type="paragraph" w:styleId="ListParagraph">
    <w:name w:val="List Paragraph"/>
    <w:basedOn w:val="Normal"/>
    <w:uiPriority w:val="34"/>
    <w:qFormat/>
    <w:rsid w:val="00AA41E9"/>
    <w:pPr>
      <w:ind w:left="720"/>
      <w:contextualSpacing/>
    </w:pPr>
  </w:style>
  <w:style w:type="paragraph" w:customStyle="1" w:styleId="MH-1">
    <w:name w:val="MH-1"/>
    <w:basedOn w:val="BodyText"/>
    <w:qFormat/>
    <w:rsid w:val="00FB2B7D"/>
    <w:pPr>
      <w:numPr>
        <w:numId w:val="4"/>
      </w:numPr>
      <w:overflowPunct w:val="0"/>
      <w:autoSpaceDE w:val="0"/>
      <w:autoSpaceDN w:val="0"/>
      <w:adjustRightInd w:val="0"/>
      <w:spacing w:before="240" w:after="0"/>
      <w:textAlignment w:val="baseline"/>
    </w:pPr>
    <w:rPr>
      <w:rFonts w:ascii="Verdana" w:eastAsia="Times New Roman" w:hAnsi="Verdana"/>
      <w:b/>
      <w:sz w:val="18"/>
      <w:szCs w:val="18"/>
      <w:lang w:eastAsia="en-GB"/>
    </w:rPr>
  </w:style>
  <w:style w:type="paragraph" w:customStyle="1" w:styleId="MH-2">
    <w:name w:val="MH-2"/>
    <w:basedOn w:val="BodyText"/>
    <w:rsid w:val="00FB2B7D"/>
    <w:pPr>
      <w:numPr>
        <w:ilvl w:val="1"/>
        <w:numId w:val="4"/>
      </w:numPr>
      <w:tabs>
        <w:tab w:val="clear" w:pos="1429"/>
        <w:tab w:val="num" w:pos="1440"/>
      </w:tabs>
      <w:overflowPunct w:val="0"/>
      <w:autoSpaceDE w:val="0"/>
      <w:autoSpaceDN w:val="0"/>
      <w:adjustRightInd w:val="0"/>
      <w:spacing w:before="240" w:after="0"/>
      <w:ind w:left="1440"/>
      <w:textAlignment w:val="baseline"/>
    </w:pPr>
    <w:rPr>
      <w:rFonts w:ascii="Verdana" w:eastAsia="Times New Roman" w:hAnsi="Verdana"/>
      <w:sz w:val="18"/>
      <w:lang w:eastAsia="en-GB"/>
    </w:rPr>
  </w:style>
  <w:style w:type="paragraph" w:customStyle="1" w:styleId="MH-3">
    <w:name w:val="MH-3"/>
    <w:basedOn w:val="BodyText"/>
    <w:rsid w:val="00FB2B7D"/>
    <w:pPr>
      <w:numPr>
        <w:ilvl w:val="2"/>
        <w:numId w:val="4"/>
      </w:numPr>
      <w:overflowPunct w:val="0"/>
      <w:autoSpaceDE w:val="0"/>
      <w:autoSpaceDN w:val="0"/>
      <w:adjustRightInd w:val="0"/>
      <w:spacing w:before="240" w:after="0"/>
      <w:textAlignment w:val="baseline"/>
    </w:pPr>
    <w:rPr>
      <w:rFonts w:ascii="Verdana" w:eastAsia="Times New Roman" w:hAnsi="Verdana"/>
      <w:sz w:val="18"/>
      <w:lang w:eastAsia="en-GB"/>
    </w:rPr>
  </w:style>
  <w:style w:type="paragraph" w:customStyle="1" w:styleId="MH-4">
    <w:name w:val="MH-4"/>
    <w:basedOn w:val="BodyText"/>
    <w:rsid w:val="00FB2B7D"/>
    <w:pPr>
      <w:numPr>
        <w:ilvl w:val="3"/>
        <w:numId w:val="4"/>
      </w:numPr>
      <w:overflowPunct w:val="0"/>
      <w:autoSpaceDE w:val="0"/>
      <w:autoSpaceDN w:val="0"/>
      <w:adjustRightInd w:val="0"/>
      <w:spacing w:before="240" w:after="0"/>
      <w:textAlignment w:val="baseline"/>
    </w:pPr>
    <w:rPr>
      <w:rFonts w:ascii="Verdana" w:eastAsia="Times New Roman" w:hAnsi="Verdana"/>
      <w:sz w:val="18"/>
      <w:lang w:eastAsia="en-GB"/>
    </w:rPr>
  </w:style>
  <w:style w:type="paragraph" w:customStyle="1" w:styleId="MH-5">
    <w:name w:val="MH-5"/>
    <w:basedOn w:val="BodyText"/>
    <w:rsid w:val="00FB2B7D"/>
    <w:pPr>
      <w:numPr>
        <w:ilvl w:val="4"/>
        <w:numId w:val="4"/>
      </w:numPr>
      <w:overflowPunct w:val="0"/>
      <w:autoSpaceDE w:val="0"/>
      <w:autoSpaceDN w:val="0"/>
      <w:adjustRightInd w:val="0"/>
      <w:spacing w:before="240" w:after="0"/>
      <w:textAlignment w:val="baseline"/>
    </w:pPr>
    <w:rPr>
      <w:rFonts w:ascii="Verdana" w:eastAsia="Times New Roman" w:hAnsi="Verdana"/>
      <w:sz w:val="18"/>
      <w:lang w:eastAsia="en-GB"/>
    </w:rPr>
  </w:style>
  <w:style w:type="paragraph" w:customStyle="1" w:styleId="MH-6">
    <w:name w:val="MH-6"/>
    <w:basedOn w:val="BodyText"/>
    <w:rsid w:val="00FB2B7D"/>
    <w:pPr>
      <w:numPr>
        <w:ilvl w:val="5"/>
        <w:numId w:val="4"/>
      </w:numPr>
      <w:overflowPunct w:val="0"/>
      <w:autoSpaceDE w:val="0"/>
      <w:autoSpaceDN w:val="0"/>
      <w:adjustRightInd w:val="0"/>
      <w:spacing w:before="240" w:after="0"/>
      <w:textAlignment w:val="baseline"/>
    </w:pPr>
    <w:rPr>
      <w:rFonts w:ascii="Verdana" w:eastAsia="Times New Roman" w:hAnsi="Verdana"/>
      <w:sz w:val="18"/>
      <w:lang w:eastAsia="en-GB"/>
    </w:rPr>
  </w:style>
  <w:style w:type="paragraph" w:customStyle="1" w:styleId="MH-7">
    <w:name w:val="MH-7"/>
    <w:basedOn w:val="BodyText"/>
    <w:rsid w:val="00FB2B7D"/>
    <w:pPr>
      <w:numPr>
        <w:ilvl w:val="6"/>
        <w:numId w:val="4"/>
      </w:numPr>
      <w:overflowPunct w:val="0"/>
      <w:autoSpaceDE w:val="0"/>
      <w:autoSpaceDN w:val="0"/>
      <w:adjustRightInd w:val="0"/>
      <w:spacing w:before="240" w:after="0"/>
      <w:textAlignment w:val="baseline"/>
    </w:pPr>
    <w:rPr>
      <w:rFonts w:ascii="Verdana" w:eastAsia="Times New Roman" w:hAnsi="Verdana"/>
      <w:sz w:val="18"/>
      <w:lang w:eastAsia="en-GB"/>
    </w:rPr>
  </w:style>
  <w:style w:type="paragraph" w:customStyle="1" w:styleId="MH-8">
    <w:name w:val="MH-8"/>
    <w:basedOn w:val="BodyText"/>
    <w:rsid w:val="00FB2B7D"/>
    <w:pPr>
      <w:numPr>
        <w:ilvl w:val="7"/>
        <w:numId w:val="4"/>
      </w:numPr>
      <w:overflowPunct w:val="0"/>
      <w:autoSpaceDE w:val="0"/>
      <w:autoSpaceDN w:val="0"/>
      <w:adjustRightInd w:val="0"/>
      <w:spacing w:before="240" w:after="0"/>
      <w:textAlignment w:val="baseline"/>
    </w:pPr>
    <w:rPr>
      <w:rFonts w:ascii="Verdana" w:eastAsia="Times New Roman" w:hAnsi="Verdana"/>
      <w:sz w:val="18"/>
      <w:lang w:eastAsia="en-GB"/>
    </w:rPr>
  </w:style>
  <w:style w:type="paragraph" w:customStyle="1" w:styleId="MH-9">
    <w:name w:val="MH-9"/>
    <w:basedOn w:val="BodyText"/>
    <w:rsid w:val="00FB2B7D"/>
    <w:pPr>
      <w:numPr>
        <w:ilvl w:val="8"/>
        <w:numId w:val="4"/>
      </w:numPr>
      <w:overflowPunct w:val="0"/>
      <w:autoSpaceDE w:val="0"/>
      <w:autoSpaceDN w:val="0"/>
      <w:adjustRightInd w:val="0"/>
      <w:spacing w:before="240" w:after="0"/>
      <w:textAlignment w:val="baseline"/>
    </w:pPr>
    <w:rPr>
      <w:rFonts w:ascii="Verdana" w:eastAsia="Times New Roman" w:hAnsi="Verdana"/>
      <w:sz w:val="18"/>
      <w:lang w:eastAsia="en-GB"/>
    </w:rPr>
  </w:style>
  <w:style w:type="paragraph" w:styleId="NoSpacing">
    <w:name w:val="No Spacing"/>
    <w:uiPriority w:val="1"/>
    <w:qFormat/>
    <w:rsid w:val="00886F11"/>
    <w:pPr>
      <w:spacing w:after="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rsid w:val="00117850"/>
    <w:rPr>
      <w:rFonts w:ascii="Tahoma" w:hAnsi="Tahoma" w:cs="Tahoma"/>
      <w:sz w:val="16"/>
      <w:szCs w:val="16"/>
    </w:rPr>
  </w:style>
  <w:style w:type="character" w:customStyle="1" w:styleId="BalloonTextChar">
    <w:name w:val="Balloon Text Char"/>
    <w:basedOn w:val="DefaultParagraphFont"/>
    <w:link w:val="BalloonText"/>
    <w:uiPriority w:val="99"/>
    <w:semiHidden/>
    <w:rsid w:val="00117850"/>
    <w:rPr>
      <w:rFonts w:ascii="Tahoma" w:hAnsi="Tahoma" w:cs="Tahoma"/>
      <w:sz w:val="16"/>
      <w:szCs w:val="16"/>
    </w:rPr>
  </w:style>
  <w:style w:type="paragraph" w:styleId="FootnoteText">
    <w:name w:val="footnote text"/>
    <w:basedOn w:val="Normal"/>
    <w:link w:val="FootnoteTextChar"/>
    <w:uiPriority w:val="99"/>
    <w:semiHidden/>
    <w:unhideWhenUsed/>
    <w:rsid w:val="00EE5EE4"/>
    <w:rPr>
      <w:sz w:val="20"/>
      <w:szCs w:val="20"/>
    </w:rPr>
  </w:style>
  <w:style w:type="character" w:customStyle="1" w:styleId="FootnoteTextChar">
    <w:name w:val="Footnote Text Char"/>
    <w:basedOn w:val="DefaultParagraphFont"/>
    <w:link w:val="FootnoteText"/>
    <w:uiPriority w:val="99"/>
    <w:semiHidden/>
    <w:rsid w:val="00EE5EE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E5EE4"/>
    <w:rPr>
      <w:vertAlign w:val="superscript"/>
    </w:rPr>
  </w:style>
  <w:style w:type="paragraph" w:styleId="Revision">
    <w:name w:val="Revision"/>
    <w:hidden/>
    <w:uiPriority w:val="99"/>
    <w:semiHidden/>
    <w:rsid w:val="002B518B"/>
    <w:pPr>
      <w:spacing w:after="0" w:line="240" w:lineRule="auto"/>
    </w:pPr>
    <w:rPr>
      <w:rFonts w:ascii="Times New Roman" w:hAnsi="Times New Roman" w:cs="Times New Roman"/>
      <w:sz w:val="24"/>
    </w:rPr>
  </w:style>
  <w:style w:type="table" w:styleId="TableGrid">
    <w:name w:val="Table Grid"/>
    <w:basedOn w:val="TableNormal"/>
    <w:uiPriority w:val="59"/>
    <w:rsid w:val="00304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CFC8C-8B75-43F4-B62F-0288CE80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PresentationFormat/>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2023-03-03T13:27:00Z</dcterms:created>
  <dcterms:modified xsi:type="dcterms:W3CDTF">2023-03-20T14:25:00Z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BLAW-46140251-2</vt:lpwstr>
  </property>
</Properties>
</file>